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322FE871"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65232A">
        <w:rPr>
          <w:rFonts w:cs="Arial"/>
          <w:b/>
          <w:sz w:val="24"/>
          <w:szCs w:val="24"/>
        </w:rPr>
        <w:t>1</w:t>
      </w:r>
      <w:r w:rsidR="00BD02E5">
        <w:rPr>
          <w:rFonts w:cs="Arial"/>
          <w:b/>
          <w:sz w:val="24"/>
          <w:szCs w:val="24"/>
        </w:rPr>
        <w:t>9441</w:t>
      </w:r>
    </w:p>
    <w:p w14:paraId="31DCE6A5" w14:textId="0A18DB4E"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5232A">
        <w:rPr>
          <w:b/>
          <w:sz w:val="24"/>
          <w:szCs w:val="24"/>
          <w:lang w:eastAsia="zh-CN"/>
        </w:rPr>
        <w:t>Nov</w:t>
      </w:r>
      <w:r>
        <w:rPr>
          <w:b/>
          <w:sz w:val="24"/>
          <w:szCs w:val="24"/>
          <w:lang w:eastAsia="zh-CN"/>
        </w:rPr>
        <w:t>.</w:t>
      </w:r>
      <w:r w:rsidR="0051762E">
        <w:rPr>
          <w:b/>
          <w:sz w:val="24"/>
          <w:szCs w:val="24"/>
          <w:lang w:eastAsia="zh-CN"/>
        </w:rPr>
        <w:t xml:space="preserve"> 1</w:t>
      </w:r>
      <w:r w:rsidRPr="00BF1228">
        <w:rPr>
          <w:b/>
          <w:sz w:val="24"/>
          <w:szCs w:val="24"/>
          <w:lang w:eastAsia="zh-CN"/>
        </w:rPr>
        <w:t>-</w:t>
      </w:r>
      <w:r w:rsidR="0065232A">
        <w:rPr>
          <w:b/>
          <w:sz w:val="24"/>
          <w:szCs w:val="24"/>
          <w:lang w:eastAsia="zh-CN"/>
        </w:rPr>
        <w:t>12</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95485C9"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E6454" w:rsidRPr="00BE6454">
        <w:rPr>
          <w:rFonts w:cs="Arial"/>
          <w:sz w:val="22"/>
        </w:rPr>
        <w:t>Handling of maximum output power limit for PC2 inter-band combinations</w:t>
      </w:r>
    </w:p>
    <w:p w14:paraId="7EF45359" w14:textId="77777777" w:rsidR="00BE6454" w:rsidRPr="00BE6454" w:rsidRDefault="00675C27" w:rsidP="00BE645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BE6454" w:rsidRPr="00BE6454">
        <w:rPr>
          <w:rFonts w:ascii="Arial" w:hAnsi="Arial" w:cs="Arial"/>
          <w:sz w:val="22"/>
        </w:rPr>
        <w:t>7.29.2 UE RF requirements [NR_PC2_CA_R17_2BDL_2BUL-Core]</w:t>
      </w:r>
    </w:p>
    <w:p w14:paraId="619B158E" w14:textId="7E2E7DC1" w:rsidR="006A0217" w:rsidRDefault="00BE6454" w:rsidP="00BE6454">
      <w:pPr>
        <w:spacing w:after="0"/>
        <w:ind w:left="1985"/>
        <w:rPr>
          <w:rFonts w:ascii="Arial" w:hAnsi="Arial" w:cs="Arial"/>
          <w:sz w:val="22"/>
        </w:rPr>
      </w:pPr>
      <w:r w:rsidRPr="00BE6454">
        <w:rPr>
          <w:rFonts w:ascii="Arial" w:hAnsi="Arial" w:cs="Arial"/>
          <w:sz w:val="22"/>
        </w:rPr>
        <w:t>7.30.2 UE RF requirements [ENDC_UE_PC2_R17_NR_TDD -Core]</w:t>
      </w:r>
    </w:p>
    <w:p w14:paraId="2E5C6AEA" w14:textId="1596E498" w:rsidR="00675C27" w:rsidRPr="00A62DA7" w:rsidRDefault="00675C27" w:rsidP="006A0217">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DA02A6C"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sidR="00BE6454">
        <w:rPr>
          <w:rFonts w:eastAsia="SimSun"/>
          <w:lang w:eastAsia="zh-CN"/>
        </w:rPr>
        <w:t xml:space="preserve">previous RAN4 meetings, </w:t>
      </w:r>
      <w:r w:rsidR="00934BAF">
        <w:rPr>
          <w:rFonts w:eastAsia="SimSun"/>
          <w:lang w:eastAsia="zh-CN"/>
        </w:rPr>
        <w:t xml:space="preserve">the group addressed </w:t>
      </w:r>
      <w:r w:rsidR="00D927C3">
        <w:rPr>
          <w:rFonts w:eastAsia="SimSun"/>
          <w:lang w:eastAsia="zh-CN"/>
        </w:rPr>
        <w:t xml:space="preserve">allowing the </w:t>
      </w:r>
      <w:r w:rsidR="00934BAF">
        <w:rPr>
          <w:rFonts w:eastAsia="SimSun"/>
          <w:lang w:eastAsia="zh-CN"/>
        </w:rPr>
        <w:t xml:space="preserve">power </w:t>
      </w:r>
      <w:r w:rsidR="00D927C3">
        <w:rPr>
          <w:rFonts w:eastAsia="SimSun"/>
          <w:lang w:eastAsia="zh-CN"/>
        </w:rPr>
        <w:t>sum of the two CC to exceed the inter-band PC2 maximum power definition</w:t>
      </w:r>
      <w:r w:rsidR="00934BAF">
        <w:rPr>
          <w:rFonts w:eastAsia="SimSun"/>
          <w:lang w:eastAsia="zh-CN"/>
        </w:rPr>
        <w:t>,</w:t>
      </w:r>
      <w:r w:rsidR="00D927C3">
        <w:rPr>
          <w:rFonts w:eastAsia="SimSun"/>
          <w:lang w:eastAsia="zh-CN"/>
        </w:rPr>
        <w:t xml:space="preserve"> if at least one of the band</w:t>
      </w:r>
      <w:r w:rsidR="00934BAF">
        <w:rPr>
          <w:rFonts w:eastAsia="SimSun"/>
          <w:lang w:eastAsia="zh-CN"/>
        </w:rPr>
        <w:t>s</w:t>
      </w:r>
      <w:r w:rsidR="00D927C3">
        <w:rPr>
          <w:rFonts w:eastAsia="SimSun"/>
          <w:lang w:eastAsia="zh-CN"/>
        </w:rPr>
        <w:t xml:space="preserve"> is PC2</w:t>
      </w:r>
      <w:r w:rsidR="000A6A7A">
        <w:rPr>
          <w:rFonts w:eastAsia="SimSun"/>
          <w:lang w:eastAsia="zh-CN"/>
        </w:rPr>
        <w:t>.</w:t>
      </w:r>
      <w:r w:rsidR="00D927C3">
        <w:rPr>
          <w:rFonts w:eastAsia="SimSun"/>
          <w:lang w:eastAsia="zh-CN"/>
        </w:rPr>
        <w:t xml:space="preserve"> In this contribution</w:t>
      </w:r>
      <w:r w:rsidR="00934BAF">
        <w:rPr>
          <w:rFonts w:eastAsia="SimSun"/>
          <w:lang w:eastAsia="zh-CN"/>
        </w:rPr>
        <w:t>,</w:t>
      </w:r>
      <w:r w:rsidR="00D927C3">
        <w:rPr>
          <w:rFonts w:eastAsia="SimSun"/>
          <w:lang w:eastAsia="zh-CN"/>
        </w:rPr>
        <w:t xml:space="preserve"> we clarify the implications of this and discuss the related requirement impact</w:t>
      </w:r>
      <w:r w:rsidR="00934BAF">
        <w:rPr>
          <w:rFonts w:eastAsia="SimSun"/>
          <w:lang w:eastAsia="zh-CN"/>
        </w:rPr>
        <w:t>s</w:t>
      </w:r>
      <w:r w:rsidR="00BD02E5">
        <w:rPr>
          <w:rFonts w:eastAsia="SimSun"/>
          <w:lang w:eastAsia="zh-CN"/>
        </w:rPr>
        <w:t>.</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6C3BCCE3" w14:textId="2DD1A948" w:rsidR="002D3CBD" w:rsidRDefault="00D927C3" w:rsidP="002D3CBD">
      <w:pPr>
        <w:pStyle w:val="Heading2"/>
        <w:spacing w:after="240"/>
        <w:rPr>
          <w:lang w:eastAsia="zh-CN"/>
        </w:rPr>
      </w:pPr>
      <w:r>
        <w:rPr>
          <w:lang w:eastAsia="zh-CN"/>
        </w:rPr>
        <w:t xml:space="preserve">Possible PC2 inter-band Combinations </w:t>
      </w:r>
    </w:p>
    <w:p w14:paraId="5F57F536" w14:textId="3A1CD0ED" w:rsidR="00D927C3" w:rsidRDefault="00D927C3" w:rsidP="00D927C3">
      <w:pPr>
        <w:rPr>
          <w:lang w:val="en-GB" w:eastAsia="zh-CN"/>
        </w:rPr>
      </w:pPr>
      <w:r>
        <w:rPr>
          <w:lang w:val="en-GB" w:eastAsia="zh-CN"/>
        </w:rPr>
        <w:t>First</w:t>
      </w:r>
      <w:r w:rsidR="00934BAF">
        <w:rPr>
          <w:lang w:val="en-GB" w:eastAsia="zh-CN"/>
        </w:rPr>
        <w:t>,</w:t>
      </w:r>
      <w:r>
        <w:rPr>
          <w:lang w:val="en-GB" w:eastAsia="zh-CN"/>
        </w:rPr>
        <w:t xml:space="preserve"> we want to clarify that this discussion is only for inter-band combinations</w:t>
      </w:r>
      <w:r w:rsidR="00934BAF">
        <w:rPr>
          <w:lang w:val="en-GB" w:eastAsia="zh-CN"/>
        </w:rPr>
        <w:t>:</w:t>
      </w:r>
      <w:r>
        <w:rPr>
          <w:lang w:val="en-GB" w:eastAsia="zh-CN"/>
        </w:rPr>
        <w:t xml:space="preserve"> ENDC, NRCA, NEDC or NRDC</w:t>
      </w:r>
      <w:r w:rsidR="00934BAF">
        <w:rPr>
          <w:lang w:val="en-GB" w:eastAsia="zh-CN"/>
        </w:rPr>
        <w:t>,</w:t>
      </w:r>
      <w:r>
        <w:rPr>
          <w:lang w:val="en-GB" w:eastAsia="zh-CN"/>
        </w:rPr>
        <w:t xml:space="preserve"> but not for intra-band combinations</w:t>
      </w:r>
      <w:r w:rsidR="00934BAF">
        <w:rPr>
          <w:lang w:val="en-GB" w:eastAsia="zh-CN"/>
        </w:rPr>
        <w:t>,</w:t>
      </w:r>
      <w:r>
        <w:rPr>
          <w:lang w:val="en-GB" w:eastAsia="zh-CN"/>
        </w:rPr>
        <w:t xml:space="preserve"> since </w:t>
      </w:r>
      <w:r w:rsidR="00934BAF">
        <w:rPr>
          <w:lang w:val="en-GB" w:eastAsia="zh-CN"/>
        </w:rPr>
        <w:t>these</w:t>
      </w:r>
      <w:r>
        <w:rPr>
          <w:lang w:val="en-GB" w:eastAsia="zh-CN"/>
        </w:rPr>
        <w:t xml:space="preserve"> relate to the band power class only.</w:t>
      </w:r>
    </w:p>
    <w:p w14:paraId="79028C01" w14:textId="45122930" w:rsidR="00D927C3" w:rsidRDefault="00D927C3" w:rsidP="00D927C3">
      <w:pPr>
        <w:rPr>
          <w:lang w:val="en-GB" w:eastAsia="zh-CN"/>
        </w:rPr>
      </w:pPr>
      <w:r>
        <w:rPr>
          <w:lang w:val="en-GB" w:eastAsia="zh-CN"/>
        </w:rPr>
        <w:t>Table 1, map</w:t>
      </w:r>
      <w:r w:rsidR="00934BAF">
        <w:rPr>
          <w:lang w:val="en-GB" w:eastAsia="zh-CN"/>
        </w:rPr>
        <w:t>s</w:t>
      </w:r>
      <w:r>
        <w:rPr>
          <w:lang w:val="en-GB" w:eastAsia="zh-CN"/>
        </w:rPr>
        <w:t xml:space="preserve"> all the feasible PC2 inter-band combinations in Release 17</w:t>
      </w:r>
      <w:r w:rsidR="00934BAF">
        <w:rPr>
          <w:lang w:val="en-GB" w:eastAsia="zh-CN"/>
        </w:rPr>
        <w:t>,</w:t>
      </w:r>
      <w:r>
        <w:rPr>
          <w:lang w:val="en-GB" w:eastAsia="zh-CN"/>
        </w:rPr>
        <w:t xml:space="preserve"> based on each </w:t>
      </w:r>
      <w:r w:rsidR="00934BAF">
        <w:rPr>
          <w:lang w:val="en-GB" w:eastAsia="zh-CN"/>
        </w:rPr>
        <w:t xml:space="preserve">of the </w:t>
      </w:r>
      <w:r>
        <w:rPr>
          <w:lang w:val="en-GB" w:eastAsia="zh-CN"/>
        </w:rPr>
        <w:t>band</w:t>
      </w:r>
      <w:r w:rsidR="00934BAF">
        <w:rPr>
          <w:lang w:val="en-GB" w:eastAsia="zh-CN"/>
        </w:rPr>
        <w:t>’s</w:t>
      </w:r>
      <w:r>
        <w:rPr>
          <w:lang w:val="en-GB" w:eastAsia="zh-CN"/>
        </w:rPr>
        <w:t xml:space="preserve"> power class </w:t>
      </w:r>
      <w:r w:rsidR="00934BAF">
        <w:rPr>
          <w:lang w:val="en-GB" w:eastAsia="zh-CN"/>
        </w:rPr>
        <w:t>capability</w:t>
      </w:r>
      <w:r>
        <w:rPr>
          <w:lang w:val="en-GB" w:eastAsia="zh-CN"/>
        </w:rPr>
        <w:t>. The resulting peak power for each band</w:t>
      </w:r>
      <w:r w:rsidR="00934BAF">
        <w:rPr>
          <w:lang w:val="en-GB" w:eastAsia="zh-CN"/>
        </w:rPr>
        <w:t>,</w:t>
      </w:r>
      <w:r>
        <w:rPr>
          <w:lang w:val="en-GB" w:eastAsia="zh-CN"/>
        </w:rPr>
        <w:t xml:space="preserve"> at maximum nominal power or extreme power</w:t>
      </w:r>
      <w:r w:rsidR="00934BAF">
        <w:rPr>
          <w:lang w:val="en-GB" w:eastAsia="zh-CN"/>
        </w:rPr>
        <w:t>,</w:t>
      </w:r>
      <w:r>
        <w:rPr>
          <w:lang w:val="en-GB" w:eastAsia="zh-CN"/>
        </w:rPr>
        <w:t xml:space="preserve"> is provided and then compared with the PC2 maximum output power.</w:t>
      </w:r>
      <w:r w:rsidR="008F6490">
        <w:rPr>
          <w:lang w:val="en-GB" w:eastAsia="zh-CN"/>
        </w:rPr>
        <w:t xml:space="preserve"> The cases highlighted in green </w:t>
      </w:r>
      <w:r w:rsidR="00934BAF">
        <w:rPr>
          <w:lang w:val="en-GB" w:eastAsia="zh-CN"/>
        </w:rPr>
        <w:t>illustrate</w:t>
      </w:r>
      <w:r w:rsidR="008F6490">
        <w:rPr>
          <w:lang w:val="en-GB" w:eastAsia="zh-CN"/>
        </w:rPr>
        <w:t xml:space="preserve"> that the power </w:t>
      </w:r>
      <w:r w:rsidR="00934BAF">
        <w:rPr>
          <w:lang w:val="en-GB" w:eastAsia="zh-CN"/>
        </w:rPr>
        <w:t>remains</w:t>
      </w:r>
      <w:r w:rsidR="008F6490">
        <w:rPr>
          <w:lang w:val="en-GB" w:eastAsia="zh-CN"/>
        </w:rPr>
        <w:t xml:space="preserve"> within the current PC2 inter-band power class range.</w:t>
      </w:r>
    </w:p>
    <w:p w14:paraId="1660E84B" w14:textId="4DDC7BF4" w:rsidR="008F6490" w:rsidRDefault="008F6490" w:rsidP="008F6490">
      <w:pPr>
        <w:pStyle w:val="Caption"/>
        <w:keepNext/>
        <w:jc w:val="center"/>
      </w:pPr>
      <w:r>
        <w:t xml:space="preserve">Table </w:t>
      </w:r>
      <w:fldSimple w:instr=" SEQ Table \* ARABIC ">
        <w:r>
          <w:rPr>
            <w:noProof/>
          </w:rPr>
          <w:t>1</w:t>
        </w:r>
      </w:fldSimple>
      <w:r>
        <w:t>: possible per band power class combinations in an inter-band PC2 combination</w:t>
      </w:r>
    </w:p>
    <w:tbl>
      <w:tblPr>
        <w:tblW w:w="10414" w:type="dxa"/>
        <w:jc w:val="center"/>
        <w:tblInd w:w="-484" w:type="dxa"/>
        <w:tblLook w:val="04A0" w:firstRow="1" w:lastRow="0" w:firstColumn="1" w:lastColumn="0" w:noHBand="0" w:noVBand="1"/>
      </w:tblPr>
      <w:tblGrid>
        <w:gridCol w:w="2919"/>
        <w:gridCol w:w="681"/>
        <w:gridCol w:w="681"/>
        <w:gridCol w:w="567"/>
        <w:gridCol w:w="681"/>
        <w:gridCol w:w="681"/>
        <w:gridCol w:w="567"/>
        <w:gridCol w:w="1297"/>
        <w:gridCol w:w="2340"/>
      </w:tblGrid>
      <w:tr w:rsidR="00AE70F0" w:rsidRPr="00AE70F0" w14:paraId="6BCC0141" w14:textId="77777777" w:rsidTr="009B4F03">
        <w:trPr>
          <w:trHeight w:val="224"/>
          <w:jc w:val="center"/>
        </w:trPr>
        <w:tc>
          <w:tcPr>
            <w:tcW w:w="2919" w:type="dxa"/>
            <w:tcBorders>
              <w:top w:val="nil"/>
              <w:left w:val="nil"/>
              <w:bottom w:val="nil"/>
              <w:right w:val="nil"/>
            </w:tcBorders>
            <w:shd w:val="clear" w:color="auto" w:fill="auto"/>
            <w:noWrap/>
            <w:vAlign w:val="bottom"/>
            <w:hideMark/>
          </w:tcPr>
          <w:p w14:paraId="5D09BDE2"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p>
        </w:tc>
        <w:tc>
          <w:tcPr>
            <w:tcW w:w="1929"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59C669A2"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maximum nominal</w:t>
            </w:r>
            <w:r w:rsidRPr="00AE70F0">
              <w:rPr>
                <w:rFonts w:ascii="Calibri" w:hAnsi="Calibri"/>
                <w:color w:val="000000"/>
                <w:sz w:val="18"/>
                <w:szCs w:val="18"/>
              </w:rPr>
              <w:br/>
              <w:t>power [</w:t>
            </w:r>
            <w:proofErr w:type="spellStart"/>
            <w:r w:rsidRPr="00AE70F0">
              <w:rPr>
                <w:rFonts w:ascii="Calibri" w:hAnsi="Calibri"/>
                <w:color w:val="000000"/>
                <w:sz w:val="18"/>
                <w:szCs w:val="18"/>
              </w:rPr>
              <w:t>dBm</w:t>
            </w:r>
            <w:proofErr w:type="spellEnd"/>
            <w:r w:rsidRPr="00AE70F0">
              <w:rPr>
                <w:rFonts w:ascii="Calibri" w:hAnsi="Calibri"/>
                <w:color w:val="000000"/>
                <w:sz w:val="18"/>
                <w:szCs w:val="18"/>
              </w:rPr>
              <w:t>]</w:t>
            </w:r>
          </w:p>
        </w:tc>
        <w:tc>
          <w:tcPr>
            <w:tcW w:w="1929" w:type="dxa"/>
            <w:gridSpan w:val="3"/>
            <w:tcBorders>
              <w:top w:val="single" w:sz="4" w:space="0" w:color="auto"/>
              <w:left w:val="nil"/>
              <w:bottom w:val="single" w:sz="4" w:space="0" w:color="auto"/>
              <w:right w:val="single" w:sz="4" w:space="0" w:color="auto"/>
            </w:tcBorders>
            <w:shd w:val="clear" w:color="auto" w:fill="auto"/>
            <w:vAlign w:val="bottom"/>
            <w:hideMark/>
          </w:tcPr>
          <w:p w14:paraId="2BCF4039" w14:textId="64C2FB70" w:rsidR="00AE70F0" w:rsidRPr="00AE70F0" w:rsidRDefault="00AE70F0" w:rsidP="00934BAF">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 xml:space="preserve">extreme power </w:t>
            </w:r>
            <w:r w:rsidRPr="00AE70F0">
              <w:rPr>
                <w:rFonts w:ascii="Calibri" w:hAnsi="Calibri"/>
                <w:color w:val="000000"/>
                <w:sz w:val="18"/>
                <w:szCs w:val="18"/>
              </w:rPr>
              <w:br/>
              <w:t>limit [</w:t>
            </w:r>
            <w:proofErr w:type="spellStart"/>
            <w:r w:rsidRPr="00AE70F0">
              <w:rPr>
                <w:rFonts w:ascii="Calibri" w:hAnsi="Calibri"/>
                <w:color w:val="000000"/>
                <w:sz w:val="18"/>
                <w:szCs w:val="18"/>
              </w:rPr>
              <w:t>dBm</w:t>
            </w:r>
            <w:proofErr w:type="spellEnd"/>
            <w:r w:rsidRPr="00AE70F0">
              <w:rPr>
                <w:rFonts w:ascii="Calibri" w:hAnsi="Calibri"/>
                <w:color w:val="000000"/>
                <w:sz w:val="18"/>
                <w:szCs w:val="18"/>
              </w:rPr>
              <w:t>]</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8DF926A"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difference to</w:t>
            </w:r>
            <w:r w:rsidRPr="00AE70F0">
              <w:rPr>
                <w:rFonts w:ascii="Calibri" w:hAnsi="Calibri"/>
                <w:color w:val="000000"/>
                <w:sz w:val="18"/>
                <w:szCs w:val="18"/>
              </w:rPr>
              <w:br/>
              <w:t>PC2 inter-band</w:t>
            </w:r>
            <w:r w:rsidRPr="00AE70F0">
              <w:rPr>
                <w:rFonts w:ascii="Calibri" w:hAnsi="Calibri"/>
                <w:color w:val="000000"/>
                <w:sz w:val="18"/>
                <w:szCs w:val="18"/>
              </w:rPr>
              <w:br/>
              <w:t>[dB]</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00BFD4"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comment</w:t>
            </w:r>
          </w:p>
        </w:tc>
      </w:tr>
      <w:tr w:rsidR="00AE70F0" w:rsidRPr="00AE70F0" w14:paraId="5739F235" w14:textId="77777777" w:rsidTr="009B4F03">
        <w:trPr>
          <w:trHeight w:val="58"/>
          <w:jc w:val="center"/>
        </w:trPr>
        <w:tc>
          <w:tcPr>
            <w:tcW w:w="29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590145"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r w:rsidRPr="00AE70F0">
              <w:rPr>
                <w:rFonts w:ascii="Calibri" w:hAnsi="Calibri"/>
                <w:color w:val="000000"/>
                <w:sz w:val="18"/>
                <w:szCs w:val="18"/>
              </w:rPr>
              <w:t>use case</w:t>
            </w:r>
          </w:p>
        </w:tc>
        <w:tc>
          <w:tcPr>
            <w:tcW w:w="681" w:type="dxa"/>
            <w:tcBorders>
              <w:top w:val="nil"/>
              <w:left w:val="nil"/>
              <w:bottom w:val="single" w:sz="4" w:space="0" w:color="auto"/>
              <w:right w:val="single" w:sz="4" w:space="0" w:color="auto"/>
            </w:tcBorders>
            <w:shd w:val="clear" w:color="auto" w:fill="auto"/>
            <w:noWrap/>
            <w:vAlign w:val="bottom"/>
            <w:hideMark/>
          </w:tcPr>
          <w:p w14:paraId="4D9261D9"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r w:rsidRPr="00AE70F0">
              <w:rPr>
                <w:rFonts w:ascii="Calibri" w:hAnsi="Calibri"/>
                <w:color w:val="000000"/>
                <w:sz w:val="18"/>
                <w:szCs w:val="18"/>
              </w:rPr>
              <w:t>Band1</w:t>
            </w:r>
          </w:p>
        </w:tc>
        <w:tc>
          <w:tcPr>
            <w:tcW w:w="681" w:type="dxa"/>
            <w:tcBorders>
              <w:top w:val="nil"/>
              <w:left w:val="nil"/>
              <w:bottom w:val="single" w:sz="4" w:space="0" w:color="auto"/>
              <w:right w:val="single" w:sz="4" w:space="0" w:color="auto"/>
            </w:tcBorders>
            <w:shd w:val="clear" w:color="auto" w:fill="auto"/>
            <w:noWrap/>
            <w:vAlign w:val="bottom"/>
            <w:hideMark/>
          </w:tcPr>
          <w:p w14:paraId="03C09B00"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r w:rsidRPr="00AE70F0">
              <w:rPr>
                <w:rFonts w:ascii="Calibri" w:hAnsi="Calibri"/>
                <w:color w:val="000000"/>
                <w:sz w:val="18"/>
                <w:szCs w:val="18"/>
              </w:rPr>
              <w:t>Band2</w:t>
            </w:r>
          </w:p>
        </w:tc>
        <w:tc>
          <w:tcPr>
            <w:tcW w:w="567" w:type="dxa"/>
            <w:tcBorders>
              <w:top w:val="nil"/>
              <w:left w:val="nil"/>
              <w:bottom w:val="single" w:sz="4" w:space="0" w:color="auto"/>
              <w:right w:val="single" w:sz="4" w:space="0" w:color="auto"/>
            </w:tcBorders>
            <w:shd w:val="clear" w:color="auto" w:fill="auto"/>
            <w:noWrap/>
            <w:vAlign w:val="bottom"/>
            <w:hideMark/>
          </w:tcPr>
          <w:p w14:paraId="0F070853"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r w:rsidRPr="00AE70F0">
              <w:rPr>
                <w:rFonts w:ascii="Calibri" w:hAnsi="Calibri"/>
                <w:color w:val="000000"/>
                <w:sz w:val="18"/>
                <w:szCs w:val="18"/>
              </w:rPr>
              <w:t>Peak</w:t>
            </w:r>
          </w:p>
        </w:tc>
        <w:tc>
          <w:tcPr>
            <w:tcW w:w="681" w:type="dxa"/>
            <w:tcBorders>
              <w:top w:val="nil"/>
              <w:left w:val="nil"/>
              <w:bottom w:val="single" w:sz="4" w:space="0" w:color="auto"/>
              <w:right w:val="single" w:sz="4" w:space="0" w:color="auto"/>
            </w:tcBorders>
            <w:shd w:val="clear" w:color="auto" w:fill="auto"/>
            <w:noWrap/>
            <w:vAlign w:val="bottom"/>
            <w:hideMark/>
          </w:tcPr>
          <w:p w14:paraId="1BD709E8"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r w:rsidRPr="00AE70F0">
              <w:rPr>
                <w:rFonts w:ascii="Calibri" w:hAnsi="Calibri"/>
                <w:color w:val="000000"/>
                <w:sz w:val="18"/>
                <w:szCs w:val="18"/>
              </w:rPr>
              <w:t>Band1</w:t>
            </w:r>
          </w:p>
        </w:tc>
        <w:tc>
          <w:tcPr>
            <w:tcW w:w="681" w:type="dxa"/>
            <w:tcBorders>
              <w:top w:val="nil"/>
              <w:left w:val="nil"/>
              <w:bottom w:val="single" w:sz="4" w:space="0" w:color="auto"/>
              <w:right w:val="single" w:sz="4" w:space="0" w:color="auto"/>
            </w:tcBorders>
            <w:shd w:val="clear" w:color="auto" w:fill="auto"/>
            <w:noWrap/>
            <w:vAlign w:val="bottom"/>
            <w:hideMark/>
          </w:tcPr>
          <w:p w14:paraId="23A3D423"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r w:rsidRPr="00AE70F0">
              <w:rPr>
                <w:rFonts w:ascii="Calibri" w:hAnsi="Calibri"/>
                <w:color w:val="000000"/>
                <w:sz w:val="18"/>
                <w:szCs w:val="18"/>
              </w:rPr>
              <w:t>Band2</w:t>
            </w:r>
          </w:p>
        </w:tc>
        <w:tc>
          <w:tcPr>
            <w:tcW w:w="567" w:type="dxa"/>
            <w:tcBorders>
              <w:top w:val="nil"/>
              <w:left w:val="nil"/>
              <w:bottom w:val="single" w:sz="4" w:space="0" w:color="auto"/>
              <w:right w:val="single" w:sz="4" w:space="0" w:color="auto"/>
            </w:tcBorders>
            <w:shd w:val="clear" w:color="auto" w:fill="auto"/>
            <w:noWrap/>
            <w:vAlign w:val="bottom"/>
            <w:hideMark/>
          </w:tcPr>
          <w:p w14:paraId="5F0E07CC"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r w:rsidRPr="00AE70F0">
              <w:rPr>
                <w:rFonts w:ascii="Calibri" w:hAnsi="Calibri"/>
                <w:color w:val="000000"/>
                <w:sz w:val="18"/>
                <w:szCs w:val="18"/>
              </w:rPr>
              <w:t>Peak</w:t>
            </w: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384E0915"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p>
        </w:tc>
        <w:tc>
          <w:tcPr>
            <w:tcW w:w="2340" w:type="dxa"/>
            <w:vMerge/>
            <w:tcBorders>
              <w:top w:val="single" w:sz="4" w:space="0" w:color="auto"/>
              <w:left w:val="single" w:sz="4" w:space="0" w:color="auto"/>
              <w:bottom w:val="single" w:sz="4" w:space="0" w:color="auto"/>
              <w:right w:val="single" w:sz="4" w:space="0" w:color="auto"/>
            </w:tcBorders>
            <w:vAlign w:val="center"/>
            <w:hideMark/>
          </w:tcPr>
          <w:p w14:paraId="24BF3AA8"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p>
        </w:tc>
      </w:tr>
      <w:tr w:rsidR="00AE70F0" w:rsidRPr="00AE70F0" w14:paraId="72FBC421" w14:textId="77777777" w:rsidTr="009B4F03">
        <w:trPr>
          <w:trHeight w:val="58"/>
          <w:jc w:val="center"/>
        </w:trPr>
        <w:tc>
          <w:tcPr>
            <w:tcW w:w="2919" w:type="dxa"/>
            <w:tcBorders>
              <w:top w:val="nil"/>
              <w:left w:val="single" w:sz="4" w:space="0" w:color="auto"/>
              <w:bottom w:val="single" w:sz="4" w:space="0" w:color="auto"/>
              <w:right w:val="single" w:sz="4" w:space="0" w:color="auto"/>
            </w:tcBorders>
            <w:shd w:val="clear" w:color="auto" w:fill="auto"/>
            <w:noWrap/>
            <w:vAlign w:val="bottom"/>
            <w:hideMark/>
          </w:tcPr>
          <w:p w14:paraId="650DB76A" w14:textId="0C9CEE8E" w:rsidR="00AE70F0" w:rsidRPr="00F91D1B" w:rsidRDefault="00AE70F0" w:rsidP="00F91D1B">
            <w:pPr>
              <w:pStyle w:val="ListParagraph"/>
              <w:numPr>
                <w:ilvl w:val="0"/>
                <w:numId w:val="28"/>
              </w:numPr>
              <w:overflowPunct/>
              <w:autoSpaceDE/>
              <w:autoSpaceDN/>
              <w:adjustRightInd/>
              <w:spacing w:after="0"/>
              <w:textAlignment w:val="auto"/>
              <w:rPr>
                <w:rFonts w:ascii="Calibri" w:hAnsi="Calibri"/>
                <w:color w:val="000000"/>
                <w:sz w:val="18"/>
                <w:szCs w:val="18"/>
              </w:rPr>
            </w:pPr>
            <w:r w:rsidRPr="00F91D1B">
              <w:rPr>
                <w:rFonts w:ascii="Calibri" w:hAnsi="Calibri"/>
                <w:color w:val="000000"/>
                <w:sz w:val="18"/>
                <w:szCs w:val="18"/>
              </w:rPr>
              <w:t>FDD/TDD PC3 + NR-U PC5</w:t>
            </w:r>
          </w:p>
        </w:tc>
        <w:tc>
          <w:tcPr>
            <w:tcW w:w="681" w:type="dxa"/>
            <w:tcBorders>
              <w:top w:val="nil"/>
              <w:left w:val="nil"/>
              <w:bottom w:val="single" w:sz="4" w:space="0" w:color="auto"/>
              <w:right w:val="single" w:sz="4" w:space="0" w:color="auto"/>
            </w:tcBorders>
            <w:shd w:val="clear" w:color="auto" w:fill="auto"/>
            <w:noWrap/>
            <w:vAlign w:val="bottom"/>
            <w:hideMark/>
          </w:tcPr>
          <w:p w14:paraId="5A424761"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23</w:t>
            </w:r>
          </w:p>
        </w:tc>
        <w:tc>
          <w:tcPr>
            <w:tcW w:w="681" w:type="dxa"/>
            <w:tcBorders>
              <w:top w:val="nil"/>
              <w:left w:val="nil"/>
              <w:bottom w:val="single" w:sz="4" w:space="0" w:color="auto"/>
              <w:right w:val="single" w:sz="4" w:space="0" w:color="auto"/>
            </w:tcBorders>
            <w:shd w:val="clear" w:color="auto" w:fill="auto"/>
            <w:noWrap/>
            <w:vAlign w:val="bottom"/>
            <w:hideMark/>
          </w:tcPr>
          <w:p w14:paraId="3BB94754"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20</w:t>
            </w:r>
          </w:p>
        </w:tc>
        <w:tc>
          <w:tcPr>
            <w:tcW w:w="567" w:type="dxa"/>
            <w:tcBorders>
              <w:top w:val="nil"/>
              <w:left w:val="nil"/>
              <w:bottom w:val="single" w:sz="4" w:space="0" w:color="auto"/>
              <w:right w:val="single" w:sz="4" w:space="0" w:color="auto"/>
            </w:tcBorders>
            <w:shd w:val="clear" w:color="000000" w:fill="92D050"/>
            <w:noWrap/>
            <w:vAlign w:val="bottom"/>
            <w:hideMark/>
          </w:tcPr>
          <w:p w14:paraId="4DF23B5B"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25</w:t>
            </w:r>
          </w:p>
        </w:tc>
        <w:tc>
          <w:tcPr>
            <w:tcW w:w="681" w:type="dxa"/>
            <w:tcBorders>
              <w:top w:val="nil"/>
              <w:left w:val="nil"/>
              <w:bottom w:val="single" w:sz="4" w:space="0" w:color="auto"/>
              <w:right w:val="single" w:sz="4" w:space="0" w:color="auto"/>
            </w:tcBorders>
            <w:shd w:val="clear" w:color="auto" w:fill="auto"/>
            <w:noWrap/>
            <w:vAlign w:val="bottom"/>
            <w:hideMark/>
          </w:tcPr>
          <w:p w14:paraId="60DBE3BB"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25</w:t>
            </w:r>
          </w:p>
        </w:tc>
        <w:tc>
          <w:tcPr>
            <w:tcW w:w="681" w:type="dxa"/>
            <w:tcBorders>
              <w:top w:val="nil"/>
              <w:left w:val="nil"/>
              <w:bottom w:val="single" w:sz="4" w:space="0" w:color="auto"/>
              <w:right w:val="single" w:sz="4" w:space="0" w:color="auto"/>
            </w:tcBorders>
            <w:shd w:val="clear" w:color="auto" w:fill="auto"/>
            <w:noWrap/>
            <w:vAlign w:val="bottom"/>
            <w:hideMark/>
          </w:tcPr>
          <w:p w14:paraId="6EBC5652"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22</w:t>
            </w:r>
          </w:p>
        </w:tc>
        <w:tc>
          <w:tcPr>
            <w:tcW w:w="567" w:type="dxa"/>
            <w:tcBorders>
              <w:top w:val="nil"/>
              <w:left w:val="nil"/>
              <w:bottom w:val="single" w:sz="4" w:space="0" w:color="auto"/>
              <w:right w:val="single" w:sz="4" w:space="0" w:color="auto"/>
            </w:tcBorders>
            <w:shd w:val="clear" w:color="000000" w:fill="92D050"/>
            <w:noWrap/>
            <w:vAlign w:val="bottom"/>
            <w:hideMark/>
          </w:tcPr>
          <w:p w14:paraId="4A487C61"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27</w:t>
            </w:r>
          </w:p>
        </w:tc>
        <w:tc>
          <w:tcPr>
            <w:tcW w:w="1297" w:type="dxa"/>
            <w:tcBorders>
              <w:top w:val="nil"/>
              <w:left w:val="nil"/>
              <w:bottom w:val="single" w:sz="4" w:space="0" w:color="auto"/>
              <w:right w:val="single" w:sz="4" w:space="0" w:color="auto"/>
            </w:tcBorders>
            <w:shd w:val="clear" w:color="auto" w:fill="auto"/>
            <w:noWrap/>
            <w:vAlign w:val="bottom"/>
            <w:hideMark/>
          </w:tcPr>
          <w:p w14:paraId="59D860FD"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-1</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5D0DBC40" w14:textId="4E9313E1" w:rsidR="00AE70F0" w:rsidRPr="00AE70F0" w:rsidRDefault="008F6490" w:rsidP="00AE70F0">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W</w:t>
            </w:r>
            <w:r w:rsidR="00AE70F0" w:rsidRPr="00AE70F0">
              <w:rPr>
                <w:rFonts w:ascii="Calibri" w:hAnsi="Calibri"/>
                <w:color w:val="000000"/>
                <w:sz w:val="18"/>
                <w:szCs w:val="18"/>
              </w:rPr>
              <w:t>ithin the range of the PC2 maximum power no issue</w:t>
            </w:r>
          </w:p>
        </w:tc>
      </w:tr>
      <w:tr w:rsidR="00AE70F0" w:rsidRPr="00AE70F0" w14:paraId="0C0CDD29" w14:textId="77777777" w:rsidTr="009B4F03">
        <w:trPr>
          <w:trHeight w:val="58"/>
          <w:jc w:val="center"/>
        </w:trPr>
        <w:tc>
          <w:tcPr>
            <w:tcW w:w="2919" w:type="dxa"/>
            <w:tcBorders>
              <w:top w:val="nil"/>
              <w:left w:val="single" w:sz="4" w:space="0" w:color="auto"/>
              <w:bottom w:val="single" w:sz="4" w:space="0" w:color="auto"/>
              <w:right w:val="single" w:sz="4" w:space="0" w:color="auto"/>
            </w:tcBorders>
            <w:shd w:val="clear" w:color="auto" w:fill="auto"/>
            <w:noWrap/>
            <w:vAlign w:val="bottom"/>
            <w:hideMark/>
          </w:tcPr>
          <w:p w14:paraId="3FA020DF" w14:textId="60E57F47" w:rsidR="00AE70F0" w:rsidRPr="00F91D1B" w:rsidRDefault="00AE70F0" w:rsidP="00F91D1B">
            <w:pPr>
              <w:pStyle w:val="ListParagraph"/>
              <w:numPr>
                <w:ilvl w:val="0"/>
                <w:numId w:val="28"/>
              </w:numPr>
              <w:overflowPunct/>
              <w:autoSpaceDE/>
              <w:autoSpaceDN/>
              <w:adjustRightInd/>
              <w:spacing w:after="0"/>
              <w:textAlignment w:val="auto"/>
              <w:rPr>
                <w:rFonts w:ascii="Calibri" w:hAnsi="Calibri"/>
                <w:color w:val="000000"/>
                <w:sz w:val="18"/>
                <w:szCs w:val="18"/>
              </w:rPr>
            </w:pPr>
            <w:r w:rsidRPr="00F91D1B">
              <w:rPr>
                <w:rFonts w:ascii="Calibri" w:hAnsi="Calibri"/>
                <w:color w:val="000000"/>
                <w:sz w:val="18"/>
                <w:szCs w:val="18"/>
              </w:rPr>
              <w:t>FDD/TDD PC3 + FDD/TDD PC3</w:t>
            </w:r>
          </w:p>
        </w:tc>
        <w:tc>
          <w:tcPr>
            <w:tcW w:w="681" w:type="dxa"/>
            <w:tcBorders>
              <w:top w:val="nil"/>
              <w:left w:val="nil"/>
              <w:bottom w:val="single" w:sz="4" w:space="0" w:color="auto"/>
              <w:right w:val="single" w:sz="4" w:space="0" w:color="auto"/>
            </w:tcBorders>
            <w:shd w:val="clear" w:color="auto" w:fill="auto"/>
            <w:noWrap/>
            <w:vAlign w:val="bottom"/>
            <w:hideMark/>
          </w:tcPr>
          <w:p w14:paraId="7D19E0A7"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23</w:t>
            </w:r>
          </w:p>
        </w:tc>
        <w:tc>
          <w:tcPr>
            <w:tcW w:w="681" w:type="dxa"/>
            <w:tcBorders>
              <w:top w:val="nil"/>
              <w:left w:val="nil"/>
              <w:bottom w:val="single" w:sz="4" w:space="0" w:color="auto"/>
              <w:right w:val="single" w:sz="4" w:space="0" w:color="auto"/>
            </w:tcBorders>
            <w:shd w:val="clear" w:color="auto" w:fill="auto"/>
            <w:noWrap/>
            <w:vAlign w:val="bottom"/>
            <w:hideMark/>
          </w:tcPr>
          <w:p w14:paraId="64CC581C"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23</w:t>
            </w:r>
          </w:p>
        </w:tc>
        <w:tc>
          <w:tcPr>
            <w:tcW w:w="567" w:type="dxa"/>
            <w:tcBorders>
              <w:top w:val="nil"/>
              <w:left w:val="nil"/>
              <w:bottom w:val="single" w:sz="4" w:space="0" w:color="auto"/>
              <w:right w:val="single" w:sz="4" w:space="0" w:color="auto"/>
            </w:tcBorders>
            <w:shd w:val="clear" w:color="000000" w:fill="92D050"/>
            <w:noWrap/>
            <w:vAlign w:val="bottom"/>
            <w:hideMark/>
          </w:tcPr>
          <w:p w14:paraId="0E5D0450"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26</w:t>
            </w:r>
          </w:p>
        </w:tc>
        <w:tc>
          <w:tcPr>
            <w:tcW w:w="681" w:type="dxa"/>
            <w:tcBorders>
              <w:top w:val="nil"/>
              <w:left w:val="nil"/>
              <w:bottom w:val="single" w:sz="4" w:space="0" w:color="auto"/>
              <w:right w:val="single" w:sz="4" w:space="0" w:color="auto"/>
            </w:tcBorders>
            <w:shd w:val="clear" w:color="auto" w:fill="auto"/>
            <w:noWrap/>
            <w:vAlign w:val="bottom"/>
            <w:hideMark/>
          </w:tcPr>
          <w:p w14:paraId="217B383F"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25</w:t>
            </w:r>
          </w:p>
        </w:tc>
        <w:tc>
          <w:tcPr>
            <w:tcW w:w="681" w:type="dxa"/>
            <w:tcBorders>
              <w:top w:val="nil"/>
              <w:left w:val="nil"/>
              <w:bottom w:val="single" w:sz="4" w:space="0" w:color="auto"/>
              <w:right w:val="single" w:sz="4" w:space="0" w:color="auto"/>
            </w:tcBorders>
            <w:shd w:val="clear" w:color="auto" w:fill="auto"/>
            <w:noWrap/>
            <w:vAlign w:val="bottom"/>
            <w:hideMark/>
          </w:tcPr>
          <w:p w14:paraId="0F2991CC"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25</w:t>
            </w:r>
          </w:p>
        </w:tc>
        <w:tc>
          <w:tcPr>
            <w:tcW w:w="567" w:type="dxa"/>
            <w:tcBorders>
              <w:top w:val="nil"/>
              <w:left w:val="nil"/>
              <w:bottom w:val="single" w:sz="4" w:space="0" w:color="auto"/>
              <w:right w:val="single" w:sz="4" w:space="0" w:color="auto"/>
            </w:tcBorders>
            <w:shd w:val="clear" w:color="000000" w:fill="92D050"/>
            <w:noWrap/>
            <w:vAlign w:val="bottom"/>
            <w:hideMark/>
          </w:tcPr>
          <w:p w14:paraId="48CAE878"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28</w:t>
            </w:r>
          </w:p>
        </w:tc>
        <w:tc>
          <w:tcPr>
            <w:tcW w:w="1297" w:type="dxa"/>
            <w:tcBorders>
              <w:top w:val="nil"/>
              <w:left w:val="nil"/>
              <w:bottom w:val="single" w:sz="4" w:space="0" w:color="auto"/>
              <w:right w:val="single" w:sz="4" w:space="0" w:color="auto"/>
            </w:tcBorders>
            <w:shd w:val="clear" w:color="auto" w:fill="auto"/>
            <w:noWrap/>
            <w:vAlign w:val="bottom"/>
            <w:hideMark/>
          </w:tcPr>
          <w:p w14:paraId="2B4527A0"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0</w:t>
            </w:r>
          </w:p>
        </w:tc>
        <w:tc>
          <w:tcPr>
            <w:tcW w:w="2340" w:type="dxa"/>
            <w:vMerge/>
            <w:tcBorders>
              <w:top w:val="nil"/>
              <w:left w:val="single" w:sz="4" w:space="0" w:color="auto"/>
              <w:bottom w:val="single" w:sz="4" w:space="0" w:color="auto"/>
              <w:right w:val="single" w:sz="4" w:space="0" w:color="auto"/>
            </w:tcBorders>
            <w:vAlign w:val="center"/>
            <w:hideMark/>
          </w:tcPr>
          <w:p w14:paraId="170DEB69"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p>
        </w:tc>
      </w:tr>
      <w:tr w:rsidR="00AE70F0" w:rsidRPr="00AE70F0" w14:paraId="02594A1E" w14:textId="77777777" w:rsidTr="009B4F03">
        <w:trPr>
          <w:trHeight w:val="58"/>
          <w:jc w:val="center"/>
        </w:trPr>
        <w:tc>
          <w:tcPr>
            <w:tcW w:w="2919" w:type="dxa"/>
            <w:tcBorders>
              <w:top w:val="nil"/>
              <w:left w:val="single" w:sz="4" w:space="0" w:color="auto"/>
              <w:bottom w:val="single" w:sz="4" w:space="0" w:color="auto"/>
              <w:right w:val="single" w:sz="4" w:space="0" w:color="auto"/>
            </w:tcBorders>
            <w:shd w:val="clear" w:color="auto" w:fill="auto"/>
            <w:noWrap/>
            <w:vAlign w:val="bottom"/>
            <w:hideMark/>
          </w:tcPr>
          <w:p w14:paraId="648D2258" w14:textId="1E3C03A0" w:rsidR="00AE70F0" w:rsidRPr="00F91D1B" w:rsidRDefault="00AE70F0" w:rsidP="00F91D1B">
            <w:pPr>
              <w:pStyle w:val="ListParagraph"/>
              <w:numPr>
                <w:ilvl w:val="0"/>
                <w:numId w:val="28"/>
              </w:numPr>
              <w:overflowPunct/>
              <w:autoSpaceDE/>
              <w:autoSpaceDN/>
              <w:adjustRightInd/>
              <w:spacing w:after="0"/>
              <w:textAlignment w:val="auto"/>
              <w:rPr>
                <w:rFonts w:ascii="Calibri" w:hAnsi="Calibri"/>
                <w:color w:val="000000"/>
                <w:sz w:val="18"/>
                <w:szCs w:val="18"/>
              </w:rPr>
            </w:pPr>
            <w:r w:rsidRPr="00F91D1B">
              <w:rPr>
                <w:rFonts w:ascii="Calibri" w:hAnsi="Calibri"/>
                <w:color w:val="000000"/>
                <w:sz w:val="18"/>
                <w:szCs w:val="18"/>
              </w:rPr>
              <w:t>FDD/TDD PC3 + TDD PC2</w:t>
            </w:r>
          </w:p>
        </w:tc>
        <w:tc>
          <w:tcPr>
            <w:tcW w:w="681" w:type="dxa"/>
            <w:tcBorders>
              <w:top w:val="nil"/>
              <w:left w:val="nil"/>
              <w:bottom w:val="single" w:sz="4" w:space="0" w:color="auto"/>
              <w:right w:val="single" w:sz="4" w:space="0" w:color="auto"/>
            </w:tcBorders>
            <w:shd w:val="clear" w:color="auto" w:fill="auto"/>
            <w:noWrap/>
            <w:vAlign w:val="bottom"/>
            <w:hideMark/>
          </w:tcPr>
          <w:p w14:paraId="156B6981"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23</w:t>
            </w:r>
          </w:p>
        </w:tc>
        <w:tc>
          <w:tcPr>
            <w:tcW w:w="681" w:type="dxa"/>
            <w:tcBorders>
              <w:top w:val="nil"/>
              <w:left w:val="nil"/>
              <w:bottom w:val="single" w:sz="4" w:space="0" w:color="auto"/>
              <w:right w:val="single" w:sz="4" w:space="0" w:color="auto"/>
            </w:tcBorders>
            <w:shd w:val="clear" w:color="auto" w:fill="auto"/>
            <w:noWrap/>
            <w:vAlign w:val="bottom"/>
            <w:hideMark/>
          </w:tcPr>
          <w:p w14:paraId="54BB440B"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26</w:t>
            </w:r>
          </w:p>
        </w:tc>
        <w:tc>
          <w:tcPr>
            <w:tcW w:w="567" w:type="dxa"/>
            <w:tcBorders>
              <w:top w:val="nil"/>
              <w:left w:val="nil"/>
              <w:bottom w:val="single" w:sz="4" w:space="0" w:color="auto"/>
              <w:right w:val="single" w:sz="4" w:space="0" w:color="auto"/>
            </w:tcBorders>
            <w:shd w:val="clear" w:color="000000" w:fill="92D050"/>
            <w:noWrap/>
            <w:vAlign w:val="bottom"/>
            <w:hideMark/>
          </w:tcPr>
          <w:p w14:paraId="2F2E2D18"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28</w:t>
            </w:r>
          </w:p>
        </w:tc>
        <w:tc>
          <w:tcPr>
            <w:tcW w:w="681" w:type="dxa"/>
            <w:tcBorders>
              <w:top w:val="nil"/>
              <w:left w:val="nil"/>
              <w:bottom w:val="single" w:sz="4" w:space="0" w:color="auto"/>
              <w:right w:val="single" w:sz="4" w:space="0" w:color="auto"/>
            </w:tcBorders>
            <w:shd w:val="clear" w:color="auto" w:fill="auto"/>
            <w:noWrap/>
            <w:vAlign w:val="bottom"/>
            <w:hideMark/>
          </w:tcPr>
          <w:p w14:paraId="1984B60E"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25</w:t>
            </w:r>
          </w:p>
        </w:tc>
        <w:tc>
          <w:tcPr>
            <w:tcW w:w="681" w:type="dxa"/>
            <w:tcBorders>
              <w:top w:val="nil"/>
              <w:left w:val="nil"/>
              <w:bottom w:val="single" w:sz="4" w:space="0" w:color="auto"/>
              <w:right w:val="single" w:sz="4" w:space="0" w:color="auto"/>
            </w:tcBorders>
            <w:shd w:val="clear" w:color="auto" w:fill="auto"/>
            <w:noWrap/>
            <w:vAlign w:val="bottom"/>
            <w:hideMark/>
          </w:tcPr>
          <w:p w14:paraId="134903BE"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28</w:t>
            </w:r>
          </w:p>
        </w:tc>
        <w:tc>
          <w:tcPr>
            <w:tcW w:w="567" w:type="dxa"/>
            <w:tcBorders>
              <w:top w:val="nil"/>
              <w:left w:val="nil"/>
              <w:bottom w:val="single" w:sz="4" w:space="0" w:color="auto"/>
              <w:right w:val="single" w:sz="4" w:space="0" w:color="auto"/>
            </w:tcBorders>
            <w:shd w:val="clear" w:color="auto" w:fill="auto"/>
            <w:noWrap/>
            <w:vAlign w:val="bottom"/>
            <w:hideMark/>
          </w:tcPr>
          <w:p w14:paraId="73213C87"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30</w:t>
            </w:r>
          </w:p>
        </w:tc>
        <w:tc>
          <w:tcPr>
            <w:tcW w:w="1297" w:type="dxa"/>
            <w:tcBorders>
              <w:top w:val="nil"/>
              <w:left w:val="nil"/>
              <w:bottom w:val="single" w:sz="4" w:space="0" w:color="auto"/>
              <w:right w:val="single" w:sz="4" w:space="0" w:color="auto"/>
            </w:tcBorders>
            <w:shd w:val="clear" w:color="auto" w:fill="auto"/>
            <w:noWrap/>
            <w:vAlign w:val="bottom"/>
            <w:hideMark/>
          </w:tcPr>
          <w:p w14:paraId="5D1C0333"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16B3949F"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Exceeds the range of the PC2 maximum power</w:t>
            </w:r>
          </w:p>
        </w:tc>
      </w:tr>
      <w:tr w:rsidR="00AE70F0" w:rsidRPr="00AE70F0" w14:paraId="14B03629" w14:textId="77777777" w:rsidTr="009B4F03">
        <w:trPr>
          <w:trHeight w:val="58"/>
          <w:jc w:val="center"/>
        </w:trPr>
        <w:tc>
          <w:tcPr>
            <w:tcW w:w="2919" w:type="dxa"/>
            <w:tcBorders>
              <w:top w:val="nil"/>
              <w:left w:val="single" w:sz="4" w:space="0" w:color="auto"/>
              <w:bottom w:val="single" w:sz="4" w:space="0" w:color="auto"/>
              <w:right w:val="single" w:sz="4" w:space="0" w:color="auto"/>
            </w:tcBorders>
            <w:shd w:val="clear" w:color="auto" w:fill="auto"/>
            <w:noWrap/>
            <w:vAlign w:val="bottom"/>
            <w:hideMark/>
          </w:tcPr>
          <w:p w14:paraId="367D16C6" w14:textId="59B1947A" w:rsidR="00AE70F0" w:rsidRPr="00F91D1B" w:rsidRDefault="00AE70F0" w:rsidP="00F91D1B">
            <w:pPr>
              <w:pStyle w:val="ListParagraph"/>
              <w:numPr>
                <w:ilvl w:val="0"/>
                <w:numId w:val="28"/>
              </w:numPr>
              <w:overflowPunct/>
              <w:autoSpaceDE/>
              <w:autoSpaceDN/>
              <w:adjustRightInd/>
              <w:spacing w:after="0"/>
              <w:textAlignment w:val="auto"/>
              <w:rPr>
                <w:rFonts w:ascii="Calibri" w:hAnsi="Calibri"/>
                <w:color w:val="000000"/>
                <w:sz w:val="18"/>
                <w:szCs w:val="18"/>
              </w:rPr>
            </w:pPr>
            <w:r w:rsidRPr="00F91D1B">
              <w:rPr>
                <w:rFonts w:ascii="Calibri" w:hAnsi="Calibri"/>
                <w:color w:val="000000"/>
                <w:sz w:val="18"/>
                <w:szCs w:val="18"/>
              </w:rPr>
              <w:t>TDD PC2 + NR-U PC5</w:t>
            </w:r>
          </w:p>
        </w:tc>
        <w:tc>
          <w:tcPr>
            <w:tcW w:w="681" w:type="dxa"/>
            <w:tcBorders>
              <w:top w:val="nil"/>
              <w:left w:val="nil"/>
              <w:bottom w:val="single" w:sz="4" w:space="0" w:color="auto"/>
              <w:right w:val="single" w:sz="4" w:space="0" w:color="auto"/>
            </w:tcBorders>
            <w:shd w:val="clear" w:color="auto" w:fill="auto"/>
            <w:noWrap/>
            <w:vAlign w:val="bottom"/>
            <w:hideMark/>
          </w:tcPr>
          <w:p w14:paraId="77DF7468"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26</w:t>
            </w:r>
          </w:p>
        </w:tc>
        <w:tc>
          <w:tcPr>
            <w:tcW w:w="681" w:type="dxa"/>
            <w:tcBorders>
              <w:top w:val="nil"/>
              <w:left w:val="nil"/>
              <w:bottom w:val="single" w:sz="4" w:space="0" w:color="auto"/>
              <w:right w:val="single" w:sz="4" w:space="0" w:color="auto"/>
            </w:tcBorders>
            <w:shd w:val="clear" w:color="auto" w:fill="auto"/>
            <w:noWrap/>
            <w:vAlign w:val="bottom"/>
            <w:hideMark/>
          </w:tcPr>
          <w:p w14:paraId="5281BFC1"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20</w:t>
            </w:r>
          </w:p>
        </w:tc>
        <w:tc>
          <w:tcPr>
            <w:tcW w:w="567" w:type="dxa"/>
            <w:tcBorders>
              <w:top w:val="nil"/>
              <w:left w:val="nil"/>
              <w:bottom w:val="single" w:sz="4" w:space="0" w:color="auto"/>
              <w:right w:val="single" w:sz="4" w:space="0" w:color="auto"/>
            </w:tcBorders>
            <w:shd w:val="clear" w:color="000000" w:fill="92D050"/>
            <w:noWrap/>
            <w:vAlign w:val="bottom"/>
            <w:hideMark/>
          </w:tcPr>
          <w:p w14:paraId="56A62042"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27</w:t>
            </w:r>
          </w:p>
        </w:tc>
        <w:tc>
          <w:tcPr>
            <w:tcW w:w="681" w:type="dxa"/>
            <w:tcBorders>
              <w:top w:val="nil"/>
              <w:left w:val="nil"/>
              <w:bottom w:val="single" w:sz="4" w:space="0" w:color="auto"/>
              <w:right w:val="single" w:sz="4" w:space="0" w:color="auto"/>
            </w:tcBorders>
            <w:shd w:val="clear" w:color="auto" w:fill="auto"/>
            <w:noWrap/>
            <w:vAlign w:val="bottom"/>
            <w:hideMark/>
          </w:tcPr>
          <w:p w14:paraId="3E307951"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28</w:t>
            </w:r>
          </w:p>
        </w:tc>
        <w:tc>
          <w:tcPr>
            <w:tcW w:w="681" w:type="dxa"/>
            <w:tcBorders>
              <w:top w:val="nil"/>
              <w:left w:val="nil"/>
              <w:bottom w:val="single" w:sz="4" w:space="0" w:color="auto"/>
              <w:right w:val="single" w:sz="4" w:space="0" w:color="auto"/>
            </w:tcBorders>
            <w:shd w:val="clear" w:color="auto" w:fill="auto"/>
            <w:noWrap/>
            <w:vAlign w:val="bottom"/>
            <w:hideMark/>
          </w:tcPr>
          <w:p w14:paraId="64AADD22"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22</w:t>
            </w:r>
          </w:p>
        </w:tc>
        <w:tc>
          <w:tcPr>
            <w:tcW w:w="567" w:type="dxa"/>
            <w:tcBorders>
              <w:top w:val="nil"/>
              <w:left w:val="nil"/>
              <w:bottom w:val="single" w:sz="4" w:space="0" w:color="auto"/>
              <w:right w:val="single" w:sz="4" w:space="0" w:color="auto"/>
            </w:tcBorders>
            <w:shd w:val="clear" w:color="auto" w:fill="auto"/>
            <w:noWrap/>
            <w:vAlign w:val="bottom"/>
            <w:hideMark/>
          </w:tcPr>
          <w:p w14:paraId="09F250D9"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29</w:t>
            </w:r>
          </w:p>
        </w:tc>
        <w:tc>
          <w:tcPr>
            <w:tcW w:w="1297" w:type="dxa"/>
            <w:tcBorders>
              <w:top w:val="nil"/>
              <w:left w:val="nil"/>
              <w:bottom w:val="single" w:sz="4" w:space="0" w:color="auto"/>
              <w:right w:val="single" w:sz="4" w:space="0" w:color="auto"/>
            </w:tcBorders>
            <w:shd w:val="clear" w:color="auto" w:fill="auto"/>
            <w:noWrap/>
            <w:vAlign w:val="bottom"/>
            <w:hideMark/>
          </w:tcPr>
          <w:p w14:paraId="30145319"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1</w:t>
            </w:r>
          </w:p>
        </w:tc>
        <w:tc>
          <w:tcPr>
            <w:tcW w:w="2340" w:type="dxa"/>
            <w:vMerge/>
            <w:tcBorders>
              <w:top w:val="nil"/>
              <w:left w:val="single" w:sz="4" w:space="0" w:color="auto"/>
              <w:bottom w:val="single" w:sz="4" w:space="0" w:color="auto"/>
              <w:right w:val="single" w:sz="4" w:space="0" w:color="auto"/>
            </w:tcBorders>
            <w:vAlign w:val="center"/>
            <w:hideMark/>
          </w:tcPr>
          <w:p w14:paraId="16C4BDC0"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p>
        </w:tc>
      </w:tr>
      <w:tr w:rsidR="00AE70F0" w:rsidRPr="00AE70F0" w14:paraId="0D28DE43" w14:textId="77777777" w:rsidTr="009B4F03">
        <w:trPr>
          <w:trHeight w:val="58"/>
          <w:jc w:val="center"/>
        </w:trPr>
        <w:tc>
          <w:tcPr>
            <w:tcW w:w="2919" w:type="dxa"/>
            <w:tcBorders>
              <w:top w:val="nil"/>
              <w:left w:val="single" w:sz="4" w:space="0" w:color="auto"/>
              <w:bottom w:val="single" w:sz="4" w:space="0" w:color="auto"/>
              <w:right w:val="single" w:sz="4" w:space="0" w:color="auto"/>
            </w:tcBorders>
            <w:shd w:val="clear" w:color="auto" w:fill="auto"/>
            <w:noWrap/>
            <w:vAlign w:val="bottom"/>
            <w:hideMark/>
          </w:tcPr>
          <w:p w14:paraId="471A7A57" w14:textId="41A2D20A" w:rsidR="00AE70F0" w:rsidRPr="00F91D1B" w:rsidRDefault="00AE70F0" w:rsidP="00F91D1B">
            <w:pPr>
              <w:pStyle w:val="ListParagraph"/>
              <w:numPr>
                <w:ilvl w:val="0"/>
                <w:numId w:val="28"/>
              </w:numPr>
              <w:overflowPunct/>
              <w:autoSpaceDE/>
              <w:autoSpaceDN/>
              <w:adjustRightInd/>
              <w:spacing w:after="0"/>
              <w:textAlignment w:val="auto"/>
              <w:rPr>
                <w:rFonts w:ascii="Calibri" w:hAnsi="Calibri"/>
                <w:color w:val="000000"/>
                <w:sz w:val="18"/>
                <w:szCs w:val="18"/>
              </w:rPr>
            </w:pPr>
            <w:r w:rsidRPr="00F91D1B">
              <w:rPr>
                <w:rFonts w:ascii="Calibri" w:hAnsi="Calibri"/>
                <w:color w:val="000000"/>
                <w:sz w:val="18"/>
                <w:szCs w:val="18"/>
              </w:rPr>
              <w:t>TDD PC2 + TDD PC2</w:t>
            </w:r>
          </w:p>
        </w:tc>
        <w:tc>
          <w:tcPr>
            <w:tcW w:w="681" w:type="dxa"/>
            <w:tcBorders>
              <w:top w:val="nil"/>
              <w:left w:val="nil"/>
              <w:bottom w:val="single" w:sz="4" w:space="0" w:color="auto"/>
              <w:right w:val="single" w:sz="4" w:space="0" w:color="auto"/>
            </w:tcBorders>
            <w:shd w:val="clear" w:color="auto" w:fill="auto"/>
            <w:noWrap/>
            <w:vAlign w:val="bottom"/>
            <w:hideMark/>
          </w:tcPr>
          <w:p w14:paraId="5DD44554"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26</w:t>
            </w:r>
          </w:p>
        </w:tc>
        <w:tc>
          <w:tcPr>
            <w:tcW w:w="681" w:type="dxa"/>
            <w:tcBorders>
              <w:top w:val="nil"/>
              <w:left w:val="nil"/>
              <w:bottom w:val="single" w:sz="4" w:space="0" w:color="auto"/>
              <w:right w:val="single" w:sz="4" w:space="0" w:color="auto"/>
            </w:tcBorders>
            <w:shd w:val="clear" w:color="auto" w:fill="auto"/>
            <w:noWrap/>
            <w:vAlign w:val="bottom"/>
            <w:hideMark/>
          </w:tcPr>
          <w:p w14:paraId="33748CAB"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26</w:t>
            </w:r>
          </w:p>
        </w:tc>
        <w:tc>
          <w:tcPr>
            <w:tcW w:w="567" w:type="dxa"/>
            <w:tcBorders>
              <w:top w:val="nil"/>
              <w:left w:val="nil"/>
              <w:bottom w:val="single" w:sz="4" w:space="0" w:color="auto"/>
              <w:right w:val="single" w:sz="4" w:space="0" w:color="auto"/>
            </w:tcBorders>
            <w:shd w:val="clear" w:color="auto" w:fill="auto"/>
            <w:noWrap/>
            <w:vAlign w:val="bottom"/>
            <w:hideMark/>
          </w:tcPr>
          <w:p w14:paraId="19455E34"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29</w:t>
            </w:r>
          </w:p>
        </w:tc>
        <w:tc>
          <w:tcPr>
            <w:tcW w:w="681" w:type="dxa"/>
            <w:tcBorders>
              <w:top w:val="nil"/>
              <w:left w:val="nil"/>
              <w:bottom w:val="single" w:sz="4" w:space="0" w:color="auto"/>
              <w:right w:val="single" w:sz="4" w:space="0" w:color="auto"/>
            </w:tcBorders>
            <w:shd w:val="clear" w:color="auto" w:fill="auto"/>
            <w:noWrap/>
            <w:vAlign w:val="bottom"/>
            <w:hideMark/>
          </w:tcPr>
          <w:p w14:paraId="153BC1D1"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28</w:t>
            </w:r>
          </w:p>
        </w:tc>
        <w:tc>
          <w:tcPr>
            <w:tcW w:w="681" w:type="dxa"/>
            <w:tcBorders>
              <w:top w:val="nil"/>
              <w:left w:val="nil"/>
              <w:bottom w:val="single" w:sz="4" w:space="0" w:color="auto"/>
              <w:right w:val="single" w:sz="4" w:space="0" w:color="auto"/>
            </w:tcBorders>
            <w:shd w:val="clear" w:color="auto" w:fill="auto"/>
            <w:noWrap/>
            <w:vAlign w:val="bottom"/>
            <w:hideMark/>
          </w:tcPr>
          <w:p w14:paraId="308728FF"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28</w:t>
            </w:r>
          </w:p>
        </w:tc>
        <w:tc>
          <w:tcPr>
            <w:tcW w:w="567" w:type="dxa"/>
            <w:tcBorders>
              <w:top w:val="nil"/>
              <w:left w:val="nil"/>
              <w:bottom w:val="single" w:sz="4" w:space="0" w:color="auto"/>
              <w:right w:val="single" w:sz="4" w:space="0" w:color="auto"/>
            </w:tcBorders>
            <w:shd w:val="clear" w:color="auto" w:fill="auto"/>
            <w:noWrap/>
            <w:vAlign w:val="bottom"/>
            <w:hideMark/>
          </w:tcPr>
          <w:p w14:paraId="4C3C8FB5"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31</w:t>
            </w:r>
          </w:p>
        </w:tc>
        <w:tc>
          <w:tcPr>
            <w:tcW w:w="1297" w:type="dxa"/>
            <w:tcBorders>
              <w:top w:val="nil"/>
              <w:left w:val="nil"/>
              <w:bottom w:val="single" w:sz="4" w:space="0" w:color="auto"/>
              <w:right w:val="single" w:sz="4" w:space="0" w:color="auto"/>
            </w:tcBorders>
            <w:shd w:val="clear" w:color="auto" w:fill="auto"/>
            <w:noWrap/>
            <w:vAlign w:val="bottom"/>
            <w:hideMark/>
          </w:tcPr>
          <w:p w14:paraId="4A62011F"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3</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2CD1F175" w14:textId="6386946D" w:rsidR="00AE70F0" w:rsidRPr="00AE70F0" w:rsidRDefault="008F6490" w:rsidP="00AE70F0">
            <w:pPr>
              <w:overflowPunct/>
              <w:autoSpaceDE/>
              <w:autoSpaceDN/>
              <w:adjustRightInd/>
              <w:spacing w:after="0"/>
              <w:jc w:val="center"/>
              <w:textAlignment w:val="auto"/>
              <w:rPr>
                <w:rFonts w:ascii="Calibri" w:hAnsi="Calibri"/>
                <w:color w:val="000000"/>
                <w:sz w:val="18"/>
                <w:szCs w:val="18"/>
              </w:rPr>
            </w:pPr>
            <w:r>
              <w:rPr>
                <w:rFonts w:ascii="Calibri" w:hAnsi="Calibri"/>
                <w:color w:val="000000"/>
                <w:sz w:val="18"/>
                <w:szCs w:val="18"/>
              </w:rPr>
              <w:t>S</w:t>
            </w:r>
            <w:r w:rsidR="00AE70F0" w:rsidRPr="00AE70F0">
              <w:rPr>
                <w:rFonts w:ascii="Calibri" w:hAnsi="Calibri"/>
                <w:color w:val="000000"/>
                <w:sz w:val="18"/>
                <w:szCs w:val="18"/>
              </w:rPr>
              <w:t>hould be for PC1.5 inter</w:t>
            </w:r>
            <w:r>
              <w:rPr>
                <w:rFonts w:ascii="Calibri" w:hAnsi="Calibri"/>
                <w:color w:val="000000"/>
                <w:sz w:val="18"/>
                <w:szCs w:val="18"/>
              </w:rPr>
              <w:t>-</w:t>
            </w:r>
            <w:r w:rsidR="00AE70F0" w:rsidRPr="00AE70F0">
              <w:rPr>
                <w:rFonts w:ascii="Calibri" w:hAnsi="Calibri"/>
                <w:color w:val="000000"/>
                <w:sz w:val="18"/>
                <w:szCs w:val="18"/>
              </w:rPr>
              <w:t>band only thus not for Release 17</w:t>
            </w:r>
          </w:p>
        </w:tc>
      </w:tr>
      <w:tr w:rsidR="00AE70F0" w:rsidRPr="00AE70F0" w14:paraId="01B941E6" w14:textId="77777777" w:rsidTr="009B4F03">
        <w:trPr>
          <w:trHeight w:val="58"/>
          <w:jc w:val="center"/>
        </w:trPr>
        <w:tc>
          <w:tcPr>
            <w:tcW w:w="2919" w:type="dxa"/>
            <w:tcBorders>
              <w:top w:val="nil"/>
              <w:left w:val="single" w:sz="4" w:space="0" w:color="auto"/>
              <w:bottom w:val="single" w:sz="4" w:space="0" w:color="auto"/>
              <w:right w:val="single" w:sz="4" w:space="0" w:color="auto"/>
            </w:tcBorders>
            <w:shd w:val="clear" w:color="auto" w:fill="auto"/>
            <w:noWrap/>
            <w:vAlign w:val="bottom"/>
            <w:hideMark/>
          </w:tcPr>
          <w:p w14:paraId="73E37220" w14:textId="0FBA370E" w:rsidR="00AE70F0" w:rsidRPr="00F91D1B" w:rsidRDefault="00AE70F0" w:rsidP="00F91D1B">
            <w:pPr>
              <w:pStyle w:val="ListParagraph"/>
              <w:numPr>
                <w:ilvl w:val="0"/>
                <w:numId w:val="28"/>
              </w:numPr>
              <w:overflowPunct/>
              <w:autoSpaceDE/>
              <w:autoSpaceDN/>
              <w:adjustRightInd/>
              <w:spacing w:after="0"/>
              <w:textAlignment w:val="auto"/>
              <w:rPr>
                <w:rFonts w:ascii="Calibri" w:hAnsi="Calibri"/>
                <w:color w:val="000000"/>
                <w:sz w:val="18"/>
                <w:szCs w:val="18"/>
              </w:rPr>
            </w:pPr>
            <w:r w:rsidRPr="00F91D1B">
              <w:rPr>
                <w:rFonts w:ascii="Calibri" w:hAnsi="Calibri"/>
                <w:color w:val="000000"/>
                <w:sz w:val="18"/>
                <w:szCs w:val="18"/>
              </w:rPr>
              <w:t>FDD/TDD PC3 + TDD PC1.5</w:t>
            </w:r>
          </w:p>
        </w:tc>
        <w:tc>
          <w:tcPr>
            <w:tcW w:w="681" w:type="dxa"/>
            <w:tcBorders>
              <w:top w:val="nil"/>
              <w:left w:val="nil"/>
              <w:bottom w:val="single" w:sz="4" w:space="0" w:color="auto"/>
              <w:right w:val="single" w:sz="4" w:space="0" w:color="auto"/>
            </w:tcBorders>
            <w:shd w:val="clear" w:color="auto" w:fill="auto"/>
            <w:noWrap/>
            <w:vAlign w:val="bottom"/>
            <w:hideMark/>
          </w:tcPr>
          <w:p w14:paraId="779E21E5"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23</w:t>
            </w:r>
          </w:p>
        </w:tc>
        <w:tc>
          <w:tcPr>
            <w:tcW w:w="681" w:type="dxa"/>
            <w:tcBorders>
              <w:top w:val="nil"/>
              <w:left w:val="nil"/>
              <w:bottom w:val="single" w:sz="4" w:space="0" w:color="auto"/>
              <w:right w:val="single" w:sz="4" w:space="0" w:color="auto"/>
            </w:tcBorders>
            <w:shd w:val="clear" w:color="auto" w:fill="auto"/>
            <w:noWrap/>
            <w:vAlign w:val="bottom"/>
            <w:hideMark/>
          </w:tcPr>
          <w:p w14:paraId="08873A2B"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29</w:t>
            </w:r>
          </w:p>
        </w:tc>
        <w:tc>
          <w:tcPr>
            <w:tcW w:w="567" w:type="dxa"/>
            <w:tcBorders>
              <w:top w:val="nil"/>
              <w:left w:val="nil"/>
              <w:bottom w:val="single" w:sz="4" w:space="0" w:color="auto"/>
              <w:right w:val="single" w:sz="4" w:space="0" w:color="auto"/>
            </w:tcBorders>
            <w:shd w:val="clear" w:color="auto" w:fill="auto"/>
            <w:noWrap/>
            <w:vAlign w:val="bottom"/>
            <w:hideMark/>
          </w:tcPr>
          <w:p w14:paraId="46CF2D5B"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30</w:t>
            </w:r>
          </w:p>
        </w:tc>
        <w:tc>
          <w:tcPr>
            <w:tcW w:w="681" w:type="dxa"/>
            <w:tcBorders>
              <w:top w:val="nil"/>
              <w:left w:val="nil"/>
              <w:bottom w:val="single" w:sz="4" w:space="0" w:color="auto"/>
              <w:right w:val="single" w:sz="4" w:space="0" w:color="auto"/>
            </w:tcBorders>
            <w:shd w:val="clear" w:color="auto" w:fill="auto"/>
            <w:noWrap/>
            <w:vAlign w:val="bottom"/>
            <w:hideMark/>
          </w:tcPr>
          <w:p w14:paraId="150BDC92"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25</w:t>
            </w:r>
          </w:p>
        </w:tc>
        <w:tc>
          <w:tcPr>
            <w:tcW w:w="681" w:type="dxa"/>
            <w:tcBorders>
              <w:top w:val="nil"/>
              <w:left w:val="nil"/>
              <w:bottom w:val="single" w:sz="4" w:space="0" w:color="auto"/>
              <w:right w:val="single" w:sz="4" w:space="0" w:color="auto"/>
            </w:tcBorders>
            <w:shd w:val="clear" w:color="auto" w:fill="auto"/>
            <w:noWrap/>
            <w:vAlign w:val="bottom"/>
            <w:hideMark/>
          </w:tcPr>
          <w:p w14:paraId="03197EB8"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31</w:t>
            </w:r>
          </w:p>
        </w:tc>
        <w:tc>
          <w:tcPr>
            <w:tcW w:w="567" w:type="dxa"/>
            <w:tcBorders>
              <w:top w:val="nil"/>
              <w:left w:val="nil"/>
              <w:bottom w:val="single" w:sz="4" w:space="0" w:color="auto"/>
              <w:right w:val="single" w:sz="4" w:space="0" w:color="auto"/>
            </w:tcBorders>
            <w:shd w:val="clear" w:color="auto" w:fill="auto"/>
            <w:noWrap/>
            <w:vAlign w:val="bottom"/>
            <w:hideMark/>
          </w:tcPr>
          <w:p w14:paraId="041F1CBC"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32</w:t>
            </w:r>
          </w:p>
        </w:tc>
        <w:tc>
          <w:tcPr>
            <w:tcW w:w="1297" w:type="dxa"/>
            <w:tcBorders>
              <w:top w:val="nil"/>
              <w:left w:val="nil"/>
              <w:bottom w:val="single" w:sz="4" w:space="0" w:color="auto"/>
              <w:right w:val="single" w:sz="4" w:space="0" w:color="auto"/>
            </w:tcBorders>
            <w:shd w:val="clear" w:color="auto" w:fill="auto"/>
            <w:noWrap/>
            <w:vAlign w:val="bottom"/>
            <w:hideMark/>
          </w:tcPr>
          <w:p w14:paraId="389DFB24"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4</w:t>
            </w:r>
          </w:p>
        </w:tc>
        <w:tc>
          <w:tcPr>
            <w:tcW w:w="2340" w:type="dxa"/>
            <w:vMerge/>
            <w:tcBorders>
              <w:top w:val="nil"/>
              <w:left w:val="single" w:sz="4" w:space="0" w:color="auto"/>
              <w:bottom w:val="single" w:sz="4" w:space="0" w:color="auto"/>
              <w:right w:val="single" w:sz="4" w:space="0" w:color="auto"/>
            </w:tcBorders>
            <w:vAlign w:val="center"/>
            <w:hideMark/>
          </w:tcPr>
          <w:p w14:paraId="1FB8704F"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p>
        </w:tc>
      </w:tr>
      <w:tr w:rsidR="00AE70F0" w:rsidRPr="00AE70F0" w14:paraId="2B68503A" w14:textId="77777777" w:rsidTr="009B4F03">
        <w:trPr>
          <w:trHeight w:val="58"/>
          <w:jc w:val="center"/>
        </w:trPr>
        <w:tc>
          <w:tcPr>
            <w:tcW w:w="2919" w:type="dxa"/>
            <w:tcBorders>
              <w:top w:val="nil"/>
              <w:left w:val="single" w:sz="4" w:space="0" w:color="auto"/>
              <w:bottom w:val="single" w:sz="4" w:space="0" w:color="auto"/>
              <w:right w:val="single" w:sz="4" w:space="0" w:color="auto"/>
            </w:tcBorders>
            <w:shd w:val="clear" w:color="auto" w:fill="auto"/>
            <w:noWrap/>
            <w:vAlign w:val="bottom"/>
            <w:hideMark/>
          </w:tcPr>
          <w:p w14:paraId="3B21B4B3" w14:textId="56AE4AC9" w:rsidR="00AE70F0" w:rsidRPr="00F91D1B" w:rsidRDefault="00AE70F0" w:rsidP="00F91D1B">
            <w:pPr>
              <w:pStyle w:val="ListParagraph"/>
              <w:numPr>
                <w:ilvl w:val="0"/>
                <w:numId w:val="28"/>
              </w:numPr>
              <w:overflowPunct/>
              <w:autoSpaceDE/>
              <w:autoSpaceDN/>
              <w:adjustRightInd/>
              <w:spacing w:after="0"/>
              <w:textAlignment w:val="auto"/>
              <w:rPr>
                <w:rFonts w:ascii="Calibri" w:hAnsi="Calibri"/>
                <w:color w:val="000000"/>
                <w:sz w:val="18"/>
                <w:szCs w:val="18"/>
              </w:rPr>
            </w:pPr>
            <w:r w:rsidRPr="00F91D1B">
              <w:rPr>
                <w:rFonts w:ascii="Calibri" w:hAnsi="Calibri"/>
                <w:color w:val="000000"/>
                <w:sz w:val="18"/>
                <w:szCs w:val="18"/>
              </w:rPr>
              <w:t>TDD PC2 + TDD PC1.5</w:t>
            </w:r>
          </w:p>
        </w:tc>
        <w:tc>
          <w:tcPr>
            <w:tcW w:w="681" w:type="dxa"/>
            <w:tcBorders>
              <w:top w:val="nil"/>
              <w:left w:val="nil"/>
              <w:bottom w:val="single" w:sz="4" w:space="0" w:color="auto"/>
              <w:right w:val="single" w:sz="4" w:space="0" w:color="auto"/>
            </w:tcBorders>
            <w:shd w:val="clear" w:color="auto" w:fill="auto"/>
            <w:noWrap/>
            <w:vAlign w:val="bottom"/>
            <w:hideMark/>
          </w:tcPr>
          <w:p w14:paraId="171E0DF3"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26</w:t>
            </w:r>
          </w:p>
        </w:tc>
        <w:tc>
          <w:tcPr>
            <w:tcW w:w="681" w:type="dxa"/>
            <w:tcBorders>
              <w:top w:val="nil"/>
              <w:left w:val="nil"/>
              <w:bottom w:val="single" w:sz="4" w:space="0" w:color="auto"/>
              <w:right w:val="single" w:sz="4" w:space="0" w:color="auto"/>
            </w:tcBorders>
            <w:shd w:val="clear" w:color="auto" w:fill="auto"/>
            <w:noWrap/>
            <w:vAlign w:val="bottom"/>
            <w:hideMark/>
          </w:tcPr>
          <w:p w14:paraId="7709E25D"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29</w:t>
            </w:r>
          </w:p>
        </w:tc>
        <w:tc>
          <w:tcPr>
            <w:tcW w:w="567" w:type="dxa"/>
            <w:tcBorders>
              <w:top w:val="nil"/>
              <w:left w:val="nil"/>
              <w:bottom w:val="single" w:sz="4" w:space="0" w:color="auto"/>
              <w:right w:val="single" w:sz="4" w:space="0" w:color="auto"/>
            </w:tcBorders>
            <w:shd w:val="clear" w:color="auto" w:fill="auto"/>
            <w:noWrap/>
            <w:vAlign w:val="bottom"/>
            <w:hideMark/>
          </w:tcPr>
          <w:p w14:paraId="513E07BD"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31</w:t>
            </w:r>
          </w:p>
        </w:tc>
        <w:tc>
          <w:tcPr>
            <w:tcW w:w="681" w:type="dxa"/>
            <w:tcBorders>
              <w:top w:val="nil"/>
              <w:left w:val="nil"/>
              <w:bottom w:val="single" w:sz="4" w:space="0" w:color="auto"/>
              <w:right w:val="single" w:sz="4" w:space="0" w:color="auto"/>
            </w:tcBorders>
            <w:shd w:val="clear" w:color="auto" w:fill="auto"/>
            <w:noWrap/>
            <w:vAlign w:val="bottom"/>
            <w:hideMark/>
          </w:tcPr>
          <w:p w14:paraId="53BBC489"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28</w:t>
            </w:r>
          </w:p>
        </w:tc>
        <w:tc>
          <w:tcPr>
            <w:tcW w:w="681" w:type="dxa"/>
            <w:tcBorders>
              <w:top w:val="nil"/>
              <w:left w:val="nil"/>
              <w:bottom w:val="single" w:sz="4" w:space="0" w:color="auto"/>
              <w:right w:val="single" w:sz="4" w:space="0" w:color="auto"/>
            </w:tcBorders>
            <w:shd w:val="clear" w:color="auto" w:fill="auto"/>
            <w:noWrap/>
            <w:vAlign w:val="bottom"/>
            <w:hideMark/>
          </w:tcPr>
          <w:p w14:paraId="656FA4AB"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31</w:t>
            </w:r>
          </w:p>
        </w:tc>
        <w:tc>
          <w:tcPr>
            <w:tcW w:w="567" w:type="dxa"/>
            <w:tcBorders>
              <w:top w:val="nil"/>
              <w:left w:val="nil"/>
              <w:bottom w:val="single" w:sz="4" w:space="0" w:color="auto"/>
              <w:right w:val="single" w:sz="4" w:space="0" w:color="auto"/>
            </w:tcBorders>
            <w:shd w:val="clear" w:color="auto" w:fill="auto"/>
            <w:noWrap/>
            <w:vAlign w:val="bottom"/>
            <w:hideMark/>
          </w:tcPr>
          <w:p w14:paraId="070D195A"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33</w:t>
            </w:r>
          </w:p>
        </w:tc>
        <w:tc>
          <w:tcPr>
            <w:tcW w:w="1297" w:type="dxa"/>
            <w:tcBorders>
              <w:top w:val="nil"/>
              <w:left w:val="nil"/>
              <w:bottom w:val="single" w:sz="4" w:space="0" w:color="auto"/>
              <w:right w:val="single" w:sz="4" w:space="0" w:color="auto"/>
            </w:tcBorders>
            <w:shd w:val="clear" w:color="auto" w:fill="auto"/>
            <w:noWrap/>
            <w:vAlign w:val="bottom"/>
            <w:hideMark/>
          </w:tcPr>
          <w:p w14:paraId="1C925462"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5</w:t>
            </w:r>
          </w:p>
        </w:tc>
        <w:tc>
          <w:tcPr>
            <w:tcW w:w="2340" w:type="dxa"/>
            <w:vMerge/>
            <w:tcBorders>
              <w:top w:val="nil"/>
              <w:left w:val="single" w:sz="4" w:space="0" w:color="auto"/>
              <w:bottom w:val="single" w:sz="4" w:space="0" w:color="auto"/>
              <w:right w:val="single" w:sz="4" w:space="0" w:color="auto"/>
            </w:tcBorders>
            <w:vAlign w:val="center"/>
            <w:hideMark/>
          </w:tcPr>
          <w:p w14:paraId="34BC0067"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p>
        </w:tc>
      </w:tr>
      <w:tr w:rsidR="00AE70F0" w:rsidRPr="00AE70F0" w14:paraId="1CD56B2F" w14:textId="77777777" w:rsidTr="009B4F03">
        <w:trPr>
          <w:trHeight w:val="58"/>
          <w:jc w:val="center"/>
        </w:trPr>
        <w:tc>
          <w:tcPr>
            <w:tcW w:w="2919" w:type="dxa"/>
            <w:tcBorders>
              <w:top w:val="nil"/>
              <w:left w:val="single" w:sz="4" w:space="0" w:color="auto"/>
              <w:bottom w:val="single" w:sz="4" w:space="0" w:color="auto"/>
              <w:right w:val="single" w:sz="4" w:space="0" w:color="auto"/>
            </w:tcBorders>
            <w:shd w:val="clear" w:color="auto" w:fill="auto"/>
            <w:noWrap/>
            <w:vAlign w:val="bottom"/>
            <w:hideMark/>
          </w:tcPr>
          <w:p w14:paraId="5BDA8E9F" w14:textId="6E7BBE47" w:rsidR="00AE70F0" w:rsidRPr="00F91D1B" w:rsidRDefault="00AE70F0" w:rsidP="00F91D1B">
            <w:pPr>
              <w:pStyle w:val="ListParagraph"/>
              <w:numPr>
                <w:ilvl w:val="0"/>
                <w:numId w:val="28"/>
              </w:numPr>
              <w:overflowPunct/>
              <w:autoSpaceDE/>
              <w:autoSpaceDN/>
              <w:adjustRightInd/>
              <w:spacing w:after="0"/>
              <w:textAlignment w:val="auto"/>
              <w:rPr>
                <w:rFonts w:ascii="Calibri" w:hAnsi="Calibri"/>
                <w:color w:val="000000"/>
                <w:sz w:val="18"/>
                <w:szCs w:val="18"/>
              </w:rPr>
            </w:pPr>
            <w:r w:rsidRPr="00F91D1B">
              <w:rPr>
                <w:rFonts w:ascii="Calibri" w:hAnsi="Calibri"/>
                <w:color w:val="000000"/>
                <w:sz w:val="18"/>
                <w:szCs w:val="18"/>
              </w:rPr>
              <w:t>TDD PC1.5 + TDD PC1.5</w:t>
            </w:r>
          </w:p>
        </w:tc>
        <w:tc>
          <w:tcPr>
            <w:tcW w:w="681" w:type="dxa"/>
            <w:tcBorders>
              <w:top w:val="nil"/>
              <w:left w:val="nil"/>
              <w:bottom w:val="single" w:sz="4" w:space="0" w:color="auto"/>
              <w:right w:val="single" w:sz="4" w:space="0" w:color="auto"/>
            </w:tcBorders>
            <w:shd w:val="clear" w:color="auto" w:fill="auto"/>
            <w:noWrap/>
            <w:vAlign w:val="bottom"/>
            <w:hideMark/>
          </w:tcPr>
          <w:p w14:paraId="6A9E4386"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29</w:t>
            </w:r>
          </w:p>
        </w:tc>
        <w:tc>
          <w:tcPr>
            <w:tcW w:w="681" w:type="dxa"/>
            <w:tcBorders>
              <w:top w:val="nil"/>
              <w:left w:val="nil"/>
              <w:bottom w:val="single" w:sz="4" w:space="0" w:color="auto"/>
              <w:right w:val="single" w:sz="4" w:space="0" w:color="auto"/>
            </w:tcBorders>
            <w:shd w:val="clear" w:color="auto" w:fill="auto"/>
            <w:noWrap/>
            <w:vAlign w:val="bottom"/>
            <w:hideMark/>
          </w:tcPr>
          <w:p w14:paraId="54915CBF"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29</w:t>
            </w:r>
          </w:p>
        </w:tc>
        <w:tc>
          <w:tcPr>
            <w:tcW w:w="567" w:type="dxa"/>
            <w:tcBorders>
              <w:top w:val="nil"/>
              <w:left w:val="nil"/>
              <w:bottom w:val="single" w:sz="4" w:space="0" w:color="auto"/>
              <w:right w:val="single" w:sz="4" w:space="0" w:color="auto"/>
            </w:tcBorders>
            <w:shd w:val="clear" w:color="auto" w:fill="auto"/>
            <w:noWrap/>
            <w:vAlign w:val="bottom"/>
            <w:hideMark/>
          </w:tcPr>
          <w:p w14:paraId="679FE8E5"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32</w:t>
            </w:r>
          </w:p>
        </w:tc>
        <w:tc>
          <w:tcPr>
            <w:tcW w:w="681" w:type="dxa"/>
            <w:tcBorders>
              <w:top w:val="nil"/>
              <w:left w:val="nil"/>
              <w:bottom w:val="single" w:sz="4" w:space="0" w:color="auto"/>
              <w:right w:val="single" w:sz="4" w:space="0" w:color="auto"/>
            </w:tcBorders>
            <w:shd w:val="clear" w:color="auto" w:fill="auto"/>
            <w:noWrap/>
            <w:vAlign w:val="bottom"/>
            <w:hideMark/>
          </w:tcPr>
          <w:p w14:paraId="7CB68D67"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31</w:t>
            </w:r>
          </w:p>
        </w:tc>
        <w:tc>
          <w:tcPr>
            <w:tcW w:w="681" w:type="dxa"/>
            <w:tcBorders>
              <w:top w:val="nil"/>
              <w:left w:val="nil"/>
              <w:bottom w:val="single" w:sz="4" w:space="0" w:color="auto"/>
              <w:right w:val="single" w:sz="4" w:space="0" w:color="auto"/>
            </w:tcBorders>
            <w:shd w:val="clear" w:color="auto" w:fill="auto"/>
            <w:noWrap/>
            <w:vAlign w:val="bottom"/>
            <w:hideMark/>
          </w:tcPr>
          <w:p w14:paraId="025B9E0F"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31</w:t>
            </w:r>
          </w:p>
        </w:tc>
        <w:tc>
          <w:tcPr>
            <w:tcW w:w="567" w:type="dxa"/>
            <w:tcBorders>
              <w:top w:val="nil"/>
              <w:left w:val="nil"/>
              <w:bottom w:val="single" w:sz="4" w:space="0" w:color="auto"/>
              <w:right w:val="single" w:sz="4" w:space="0" w:color="auto"/>
            </w:tcBorders>
            <w:shd w:val="clear" w:color="auto" w:fill="auto"/>
            <w:noWrap/>
            <w:vAlign w:val="bottom"/>
            <w:hideMark/>
          </w:tcPr>
          <w:p w14:paraId="0FCB5FD2"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34</w:t>
            </w:r>
          </w:p>
        </w:tc>
        <w:tc>
          <w:tcPr>
            <w:tcW w:w="1297" w:type="dxa"/>
            <w:tcBorders>
              <w:top w:val="nil"/>
              <w:left w:val="nil"/>
              <w:bottom w:val="single" w:sz="4" w:space="0" w:color="auto"/>
              <w:right w:val="single" w:sz="4" w:space="0" w:color="auto"/>
            </w:tcBorders>
            <w:shd w:val="clear" w:color="auto" w:fill="auto"/>
            <w:noWrap/>
            <w:vAlign w:val="bottom"/>
            <w:hideMark/>
          </w:tcPr>
          <w:p w14:paraId="0827C1E1" w14:textId="77777777" w:rsidR="00AE70F0" w:rsidRPr="00AE70F0" w:rsidRDefault="00AE70F0" w:rsidP="00AE70F0">
            <w:pPr>
              <w:overflowPunct/>
              <w:autoSpaceDE/>
              <w:autoSpaceDN/>
              <w:adjustRightInd/>
              <w:spacing w:after="0"/>
              <w:jc w:val="center"/>
              <w:textAlignment w:val="auto"/>
              <w:rPr>
                <w:rFonts w:ascii="Calibri" w:hAnsi="Calibri"/>
                <w:color w:val="000000"/>
                <w:sz w:val="18"/>
                <w:szCs w:val="18"/>
              </w:rPr>
            </w:pPr>
            <w:r w:rsidRPr="00AE70F0">
              <w:rPr>
                <w:rFonts w:ascii="Calibri" w:hAnsi="Calibri"/>
                <w:color w:val="000000"/>
                <w:sz w:val="18"/>
                <w:szCs w:val="18"/>
              </w:rPr>
              <w:t>6</w:t>
            </w:r>
          </w:p>
        </w:tc>
        <w:tc>
          <w:tcPr>
            <w:tcW w:w="2340" w:type="dxa"/>
            <w:vMerge/>
            <w:tcBorders>
              <w:top w:val="nil"/>
              <w:left w:val="single" w:sz="4" w:space="0" w:color="auto"/>
              <w:bottom w:val="single" w:sz="4" w:space="0" w:color="auto"/>
              <w:right w:val="single" w:sz="4" w:space="0" w:color="auto"/>
            </w:tcBorders>
            <w:vAlign w:val="center"/>
            <w:hideMark/>
          </w:tcPr>
          <w:p w14:paraId="78457CE6" w14:textId="77777777" w:rsidR="00AE70F0" w:rsidRPr="00AE70F0" w:rsidRDefault="00AE70F0" w:rsidP="00AE70F0">
            <w:pPr>
              <w:overflowPunct/>
              <w:autoSpaceDE/>
              <w:autoSpaceDN/>
              <w:adjustRightInd/>
              <w:spacing w:after="0"/>
              <w:textAlignment w:val="auto"/>
              <w:rPr>
                <w:rFonts w:ascii="Calibri" w:hAnsi="Calibri"/>
                <w:color w:val="000000"/>
                <w:sz w:val="18"/>
                <w:szCs w:val="18"/>
              </w:rPr>
            </w:pPr>
          </w:p>
        </w:tc>
      </w:tr>
    </w:tbl>
    <w:p w14:paraId="5E94E656" w14:textId="77777777" w:rsidR="009B4F03" w:rsidRDefault="009B4F03" w:rsidP="008F6490">
      <w:pPr>
        <w:spacing w:after="0"/>
        <w:rPr>
          <w:lang w:val="en-GB" w:eastAsia="zh-CN"/>
        </w:rPr>
      </w:pPr>
    </w:p>
    <w:p w14:paraId="1E8C0CD2" w14:textId="41B9BBBF" w:rsidR="008F6490" w:rsidRDefault="00934BAF" w:rsidP="008F6490">
      <w:pPr>
        <w:spacing w:after="0"/>
        <w:rPr>
          <w:lang w:val="en-GB" w:eastAsia="zh-CN"/>
        </w:rPr>
      </w:pPr>
      <w:r>
        <w:rPr>
          <w:lang w:val="en-GB" w:eastAsia="zh-CN"/>
        </w:rPr>
        <w:t xml:space="preserve">From </w:t>
      </w:r>
      <w:r w:rsidR="008F6490">
        <w:rPr>
          <w:lang w:val="en-GB" w:eastAsia="zh-CN"/>
        </w:rPr>
        <w:t>Table 1</w:t>
      </w:r>
      <w:r>
        <w:rPr>
          <w:lang w:val="en-GB" w:eastAsia="zh-CN"/>
        </w:rPr>
        <w:t>,</w:t>
      </w:r>
      <w:r w:rsidR="008F6490">
        <w:rPr>
          <w:lang w:val="en-GB" w:eastAsia="zh-CN"/>
        </w:rPr>
        <w:t xml:space="preserve"> </w:t>
      </w:r>
      <w:r>
        <w:rPr>
          <w:lang w:val="en-GB" w:eastAsia="zh-CN"/>
        </w:rPr>
        <w:t>several</w:t>
      </w:r>
      <w:r w:rsidR="008F6490">
        <w:rPr>
          <w:lang w:val="en-GB" w:eastAsia="zh-CN"/>
        </w:rPr>
        <w:t xml:space="preserve"> questions arise:</w:t>
      </w:r>
    </w:p>
    <w:p w14:paraId="405B6000" w14:textId="092A29EF" w:rsidR="008F6490" w:rsidRDefault="008F6490" w:rsidP="008F6490">
      <w:pPr>
        <w:pStyle w:val="ListParagraph"/>
        <w:numPr>
          <w:ilvl w:val="0"/>
          <w:numId w:val="25"/>
        </w:numPr>
        <w:spacing w:after="0"/>
        <w:rPr>
          <w:lang w:val="en-GB" w:eastAsia="zh-CN"/>
        </w:rPr>
      </w:pPr>
      <w:r>
        <w:rPr>
          <w:lang w:val="en-GB" w:eastAsia="zh-CN"/>
        </w:rPr>
        <w:t>Are NR PC3 + NR-U PC5 band combinations eligible for PC2 inter-band combination? The combined per</w:t>
      </w:r>
      <w:r w:rsidR="00934BAF">
        <w:rPr>
          <w:lang w:val="en-GB" w:eastAsia="zh-CN"/>
        </w:rPr>
        <w:t>-</w:t>
      </w:r>
      <w:r>
        <w:rPr>
          <w:lang w:val="en-GB" w:eastAsia="zh-CN"/>
        </w:rPr>
        <w:t>band power range fits in the +2/-3dB range</w:t>
      </w:r>
      <w:r w:rsidR="00934BAF">
        <w:rPr>
          <w:lang w:val="en-GB" w:eastAsia="zh-CN"/>
        </w:rPr>
        <w:t>.</w:t>
      </w:r>
    </w:p>
    <w:p w14:paraId="352D0D17" w14:textId="29A7C1DE" w:rsidR="008F6490" w:rsidRDefault="008F6490" w:rsidP="008F6490">
      <w:pPr>
        <w:pStyle w:val="ListParagraph"/>
        <w:numPr>
          <w:ilvl w:val="0"/>
          <w:numId w:val="25"/>
        </w:numPr>
        <w:rPr>
          <w:lang w:val="en-GB" w:eastAsia="zh-CN"/>
        </w:rPr>
      </w:pPr>
      <w:r>
        <w:rPr>
          <w:lang w:val="en-GB" w:eastAsia="zh-CN"/>
        </w:rPr>
        <w:t>Should all combinations where the nominal power is 29dBm or above belong to a PC1.5 inter-band combination only</w:t>
      </w:r>
      <w:r w:rsidR="00934BAF">
        <w:rPr>
          <w:lang w:val="en-GB" w:eastAsia="zh-CN"/>
        </w:rPr>
        <w:t>,</w:t>
      </w:r>
      <w:r>
        <w:rPr>
          <w:lang w:val="en-GB" w:eastAsia="zh-CN"/>
        </w:rPr>
        <w:t xml:space="preserve"> and thus not be allowed in Release 1</w:t>
      </w:r>
      <w:r w:rsidR="00934BAF">
        <w:rPr>
          <w:lang w:val="en-GB" w:eastAsia="zh-CN"/>
        </w:rPr>
        <w:t>7</w:t>
      </w:r>
      <w:r>
        <w:rPr>
          <w:lang w:val="en-GB" w:eastAsia="zh-CN"/>
        </w:rPr>
        <w:t>?</w:t>
      </w:r>
    </w:p>
    <w:p w14:paraId="06772C35" w14:textId="3B2C0E9D" w:rsidR="008F6490" w:rsidRDefault="008F6490" w:rsidP="008F6490">
      <w:pPr>
        <w:pStyle w:val="ListParagraph"/>
        <w:numPr>
          <w:ilvl w:val="0"/>
          <w:numId w:val="25"/>
        </w:numPr>
        <w:rPr>
          <w:lang w:val="en-GB" w:eastAsia="zh-CN"/>
        </w:rPr>
      </w:pPr>
      <w:r>
        <w:rPr>
          <w:lang w:val="en-GB" w:eastAsia="zh-CN"/>
        </w:rPr>
        <w:t xml:space="preserve">When we are discussing </w:t>
      </w:r>
      <w:r w:rsidR="00934BAF">
        <w:rPr>
          <w:lang w:val="en-GB" w:eastAsia="zh-CN"/>
        </w:rPr>
        <w:t xml:space="preserve">of </w:t>
      </w:r>
      <w:r>
        <w:rPr>
          <w:lang w:val="en-GB" w:eastAsia="zh-CN"/>
        </w:rPr>
        <w:t xml:space="preserve">allowing the peak power to exceed the </w:t>
      </w:r>
      <w:r w:rsidR="00934BAF">
        <w:rPr>
          <w:lang w:val="en-GB" w:eastAsia="zh-CN"/>
        </w:rPr>
        <w:t xml:space="preserve">power class </w:t>
      </w:r>
      <w:r>
        <w:rPr>
          <w:lang w:val="en-GB" w:eastAsia="zh-CN"/>
        </w:rPr>
        <w:t>maximum, is this for the combined nominal or extreme power?</w:t>
      </w:r>
    </w:p>
    <w:p w14:paraId="5B19B13D" w14:textId="494CBB5A" w:rsidR="00F91D1B" w:rsidRDefault="00F91D1B" w:rsidP="00F91D1B">
      <w:pPr>
        <w:spacing w:after="0"/>
        <w:rPr>
          <w:lang w:val="en-GB" w:eastAsia="zh-CN"/>
        </w:rPr>
      </w:pPr>
      <w:r>
        <w:rPr>
          <w:lang w:val="en-GB" w:eastAsia="zh-CN"/>
        </w:rPr>
        <w:t xml:space="preserve">To simplify the discussion and assess </w:t>
      </w:r>
      <w:r w:rsidR="00934BAF">
        <w:rPr>
          <w:lang w:val="en-GB" w:eastAsia="zh-CN"/>
        </w:rPr>
        <w:t>the</w:t>
      </w:r>
      <w:r>
        <w:rPr>
          <w:lang w:val="en-GB" w:eastAsia="zh-CN"/>
        </w:rPr>
        <w:t xml:space="preserve"> requirements</w:t>
      </w:r>
      <w:r w:rsidR="00934BAF">
        <w:rPr>
          <w:lang w:val="en-GB" w:eastAsia="zh-CN"/>
        </w:rPr>
        <w:t xml:space="preserve"> that</w:t>
      </w:r>
      <w:r>
        <w:rPr>
          <w:lang w:val="en-GB" w:eastAsia="zh-CN"/>
        </w:rPr>
        <w:t xml:space="preserve"> may be affected, we believe it is essential that RAN4 achieves a common understanding of the above questions t</w:t>
      </w:r>
      <w:r w:rsidRPr="00F91D1B">
        <w:rPr>
          <w:lang w:val="en-GB" w:eastAsia="zh-CN"/>
        </w:rPr>
        <w:t>o recognise which combinations are already supported</w:t>
      </w:r>
      <w:r w:rsidR="00934BAF">
        <w:rPr>
          <w:lang w:val="en-GB" w:eastAsia="zh-CN"/>
        </w:rPr>
        <w:t>,</w:t>
      </w:r>
      <w:r w:rsidRPr="00F91D1B">
        <w:rPr>
          <w:lang w:val="en-GB" w:eastAsia="zh-CN"/>
        </w:rPr>
        <w:t xml:space="preserve"> in terms of power class definitio</w:t>
      </w:r>
      <w:r>
        <w:rPr>
          <w:lang w:val="en-GB" w:eastAsia="zh-CN"/>
        </w:rPr>
        <w:t>n, MSD</w:t>
      </w:r>
      <w:r w:rsidR="00934BAF">
        <w:rPr>
          <w:lang w:val="en-GB" w:eastAsia="zh-CN"/>
        </w:rPr>
        <w:t>,</w:t>
      </w:r>
      <w:r>
        <w:rPr>
          <w:lang w:val="en-GB" w:eastAsia="zh-CN"/>
        </w:rPr>
        <w:t xml:space="preserve"> and duty cycle reporting</w:t>
      </w:r>
      <w:r w:rsidR="00934BAF">
        <w:rPr>
          <w:lang w:val="en-GB" w:eastAsia="zh-CN"/>
        </w:rPr>
        <w:t>,</w:t>
      </w:r>
      <w:r>
        <w:rPr>
          <w:lang w:val="en-GB" w:eastAsia="zh-CN"/>
        </w:rPr>
        <w:t xml:space="preserve"> and which </w:t>
      </w:r>
      <w:r w:rsidR="00934BAF">
        <w:rPr>
          <w:lang w:val="en-GB" w:eastAsia="zh-CN"/>
        </w:rPr>
        <w:t>combinations</w:t>
      </w:r>
      <w:r>
        <w:rPr>
          <w:lang w:val="en-GB" w:eastAsia="zh-CN"/>
        </w:rPr>
        <w:t xml:space="preserve"> requires on</w:t>
      </w:r>
      <w:r w:rsidR="00934BAF">
        <w:rPr>
          <w:lang w:val="en-GB" w:eastAsia="zh-CN"/>
        </w:rPr>
        <w:t>e</w:t>
      </w:r>
      <w:r>
        <w:rPr>
          <w:lang w:val="en-GB" w:eastAsia="zh-CN"/>
        </w:rPr>
        <w:t xml:space="preserve"> or the other aspects to be revised to be supported. </w:t>
      </w:r>
      <w:r w:rsidR="00B171E0">
        <w:rPr>
          <w:lang w:val="en-GB" w:eastAsia="zh-CN"/>
        </w:rPr>
        <w:t xml:space="preserve">Essentially, the objective is to determine which combination is optional, which combination is </w:t>
      </w:r>
      <w:r w:rsidR="00B171E0">
        <w:rPr>
          <w:lang w:val="en-GB" w:eastAsia="zh-CN"/>
        </w:rPr>
        <w:t>not, and which combination is not supported in Release 17.</w:t>
      </w:r>
    </w:p>
    <w:p w14:paraId="5E0F9CD9" w14:textId="77777777" w:rsidR="00F91D1B" w:rsidRDefault="00F91D1B" w:rsidP="00F91D1B">
      <w:pPr>
        <w:spacing w:after="0"/>
        <w:rPr>
          <w:lang w:val="en-GB" w:eastAsia="zh-CN"/>
        </w:rPr>
      </w:pPr>
    </w:p>
    <w:p w14:paraId="7E86F1AC" w14:textId="4A284819" w:rsidR="00F91D1B" w:rsidRDefault="00F91D1B" w:rsidP="00F91D1B">
      <w:pPr>
        <w:spacing w:after="0"/>
        <w:rPr>
          <w:lang w:val="en-GB" w:eastAsia="zh-CN"/>
        </w:rPr>
      </w:pPr>
      <w:r>
        <w:rPr>
          <w:lang w:val="en-GB" w:eastAsia="zh-CN"/>
        </w:rPr>
        <w:t>In order to achieve this</w:t>
      </w:r>
      <w:r w:rsidR="00B171E0">
        <w:rPr>
          <w:lang w:val="en-GB" w:eastAsia="zh-CN"/>
        </w:rPr>
        <w:t>,</w:t>
      </w:r>
      <w:r>
        <w:rPr>
          <w:lang w:val="en-GB" w:eastAsia="zh-CN"/>
        </w:rPr>
        <w:t xml:space="preserve"> we </w:t>
      </w:r>
      <w:r w:rsidR="00B171E0">
        <w:rPr>
          <w:lang w:val="en-GB" w:eastAsia="zh-CN"/>
        </w:rPr>
        <w:t>advance</w:t>
      </w:r>
      <w:r>
        <w:rPr>
          <w:lang w:val="en-GB" w:eastAsia="zh-CN"/>
        </w:rPr>
        <w:t xml:space="preserve"> the following proposal for the scope of the discussion for the remainder of Release 17.</w:t>
      </w:r>
    </w:p>
    <w:p w14:paraId="7C89A26B" w14:textId="77777777" w:rsidR="00F91D1B" w:rsidRDefault="00F91D1B" w:rsidP="00F91D1B">
      <w:pPr>
        <w:spacing w:after="0"/>
        <w:rPr>
          <w:lang w:val="en-GB" w:eastAsia="zh-CN"/>
        </w:rPr>
      </w:pPr>
    </w:p>
    <w:p w14:paraId="081A7061" w14:textId="6EAF2DF0" w:rsidR="00F91D1B" w:rsidRPr="000E44A8" w:rsidRDefault="00F91D1B" w:rsidP="00F91D1B">
      <w:pPr>
        <w:spacing w:after="0"/>
        <w:rPr>
          <w:b/>
          <w:lang w:val="en-GB" w:eastAsia="zh-CN"/>
        </w:rPr>
      </w:pPr>
      <w:r w:rsidRPr="000E44A8">
        <w:rPr>
          <w:b/>
          <w:lang w:val="en-GB" w:eastAsia="zh-CN"/>
        </w:rPr>
        <w:t>Proposal:</w:t>
      </w:r>
    </w:p>
    <w:p w14:paraId="3FE0B089" w14:textId="44D7683F" w:rsidR="000E44A8" w:rsidRDefault="000E44A8" w:rsidP="00F91D1B">
      <w:pPr>
        <w:pStyle w:val="ListParagraph"/>
        <w:numPr>
          <w:ilvl w:val="0"/>
          <w:numId w:val="27"/>
        </w:numPr>
        <w:spacing w:after="0"/>
        <w:rPr>
          <w:b/>
          <w:lang w:val="en-GB" w:eastAsia="zh-CN"/>
        </w:rPr>
      </w:pPr>
      <w:r>
        <w:rPr>
          <w:b/>
          <w:lang w:val="en-GB" w:eastAsia="zh-CN"/>
        </w:rPr>
        <w:t xml:space="preserve">NR PC3+PC3 </w:t>
      </w:r>
      <w:r w:rsidR="001303B8">
        <w:rPr>
          <w:b/>
          <w:lang w:val="en-GB" w:eastAsia="zh-CN"/>
        </w:rPr>
        <w:t xml:space="preserve">case </w:t>
      </w:r>
      <w:r>
        <w:rPr>
          <w:b/>
          <w:lang w:val="en-GB" w:eastAsia="zh-CN"/>
        </w:rPr>
        <w:t xml:space="preserve">is </w:t>
      </w:r>
      <w:r w:rsidR="00B171E0">
        <w:rPr>
          <w:b/>
          <w:lang w:val="en-GB" w:eastAsia="zh-CN"/>
        </w:rPr>
        <w:t>de facto</w:t>
      </w:r>
      <w:r w:rsidR="00B171E0">
        <w:rPr>
          <w:b/>
          <w:lang w:val="en-GB" w:eastAsia="zh-CN"/>
        </w:rPr>
        <w:t xml:space="preserve"> </w:t>
      </w:r>
      <w:r>
        <w:rPr>
          <w:b/>
          <w:lang w:val="en-GB" w:eastAsia="zh-CN"/>
        </w:rPr>
        <w:t>supported by PC2 inter-band.</w:t>
      </w:r>
    </w:p>
    <w:p w14:paraId="7955E13F" w14:textId="4D007E65" w:rsidR="00F91D1B" w:rsidRPr="000E44A8" w:rsidRDefault="00F91D1B" w:rsidP="00F91D1B">
      <w:pPr>
        <w:pStyle w:val="ListParagraph"/>
        <w:numPr>
          <w:ilvl w:val="0"/>
          <w:numId w:val="27"/>
        </w:numPr>
        <w:spacing w:after="0"/>
        <w:rPr>
          <w:b/>
          <w:lang w:val="en-GB" w:eastAsia="zh-CN"/>
        </w:rPr>
      </w:pPr>
      <w:r w:rsidRPr="000E44A8">
        <w:rPr>
          <w:b/>
          <w:lang w:val="en-GB" w:eastAsia="zh-CN"/>
        </w:rPr>
        <w:t xml:space="preserve">NR PC3 + NR-U PC5 inter-band combinations (1) are eligible </w:t>
      </w:r>
      <w:r w:rsidR="00B171E0">
        <w:rPr>
          <w:b/>
          <w:lang w:val="en-GB" w:eastAsia="zh-CN"/>
        </w:rPr>
        <w:t>for</w:t>
      </w:r>
      <w:r w:rsidRPr="000E44A8">
        <w:rPr>
          <w:b/>
          <w:lang w:val="en-GB" w:eastAsia="zh-CN"/>
        </w:rPr>
        <w:t xml:space="preserve"> PC2 inter-band </w:t>
      </w:r>
      <w:r w:rsidR="00B171E0">
        <w:rPr>
          <w:b/>
          <w:lang w:val="en-GB" w:eastAsia="zh-CN"/>
        </w:rPr>
        <w:t xml:space="preserve">combinations </w:t>
      </w:r>
      <w:r w:rsidRPr="000E44A8">
        <w:rPr>
          <w:b/>
          <w:lang w:val="en-GB" w:eastAsia="zh-CN"/>
        </w:rPr>
        <w:t>and do not require revision of the requirements</w:t>
      </w:r>
      <w:r w:rsidR="001303B8">
        <w:rPr>
          <w:b/>
          <w:lang w:val="en-GB" w:eastAsia="zh-CN"/>
        </w:rPr>
        <w:t>.</w:t>
      </w:r>
    </w:p>
    <w:p w14:paraId="47B70788" w14:textId="03FB8BEB" w:rsidR="00F91D1B" w:rsidRPr="000E44A8" w:rsidRDefault="00F91D1B" w:rsidP="00F91D1B">
      <w:pPr>
        <w:pStyle w:val="ListParagraph"/>
        <w:numPr>
          <w:ilvl w:val="0"/>
          <w:numId w:val="27"/>
        </w:numPr>
        <w:spacing w:after="0"/>
        <w:rPr>
          <w:b/>
          <w:lang w:val="en-GB" w:eastAsia="zh-CN"/>
        </w:rPr>
      </w:pPr>
      <w:r w:rsidRPr="000E44A8">
        <w:rPr>
          <w:b/>
          <w:lang w:val="en-GB" w:eastAsia="zh-CN"/>
        </w:rPr>
        <w:lastRenderedPageBreak/>
        <w:t>Any combinations resulting in a peak nominal power equal</w:t>
      </w:r>
      <w:r w:rsidR="00B171E0">
        <w:rPr>
          <w:b/>
          <w:lang w:val="en-GB" w:eastAsia="zh-CN"/>
        </w:rPr>
        <w:t xml:space="preserve"> to</w:t>
      </w:r>
      <w:r w:rsidRPr="000E44A8">
        <w:rPr>
          <w:b/>
          <w:lang w:val="en-GB" w:eastAsia="zh-CN"/>
        </w:rPr>
        <w:t xml:space="preserve"> or </w:t>
      </w:r>
      <w:r w:rsidR="00B171E0">
        <w:rPr>
          <w:b/>
          <w:lang w:val="en-GB" w:eastAsia="zh-CN"/>
        </w:rPr>
        <w:t>exceeding</w:t>
      </w:r>
      <w:r w:rsidRPr="000E44A8">
        <w:rPr>
          <w:b/>
          <w:lang w:val="en-GB" w:eastAsia="zh-CN"/>
        </w:rPr>
        <w:t xml:space="preserve"> 29dBm </w:t>
      </w:r>
      <w:r w:rsidR="00B171E0" w:rsidRPr="000E44A8">
        <w:rPr>
          <w:b/>
          <w:lang w:val="en-GB" w:eastAsia="zh-CN"/>
        </w:rPr>
        <w:t>(5 to 8)</w:t>
      </w:r>
      <w:r w:rsidR="00B171E0">
        <w:rPr>
          <w:b/>
          <w:lang w:val="en-GB" w:eastAsia="zh-CN"/>
        </w:rPr>
        <w:t xml:space="preserve"> </w:t>
      </w:r>
      <w:r w:rsidRPr="000E44A8">
        <w:rPr>
          <w:b/>
          <w:lang w:val="en-GB" w:eastAsia="zh-CN"/>
        </w:rPr>
        <w:t xml:space="preserve">can only be </w:t>
      </w:r>
      <w:r w:rsidR="001303B8">
        <w:rPr>
          <w:b/>
          <w:lang w:val="en-GB" w:eastAsia="zh-CN"/>
        </w:rPr>
        <w:t xml:space="preserve">optionally </w:t>
      </w:r>
      <w:r w:rsidRPr="000E44A8">
        <w:rPr>
          <w:b/>
          <w:lang w:val="en-GB" w:eastAsia="zh-CN"/>
        </w:rPr>
        <w:t xml:space="preserve">supported with inter-band PC2 combinations with a maximum peak power of </w:t>
      </w:r>
      <w:r w:rsidR="000E44A8">
        <w:rPr>
          <w:b/>
          <w:lang w:val="en-GB" w:eastAsia="zh-CN"/>
        </w:rPr>
        <w:t>30</w:t>
      </w:r>
      <w:r w:rsidRPr="000E44A8">
        <w:rPr>
          <w:b/>
          <w:lang w:val="en-GB" w:eastAsia="zh-CN"/>
        </w:rPr>
        <w:t>dBm</w:t>
      </w:r>
      <w:r w:rsidR="00B171E0">
        <w:rPr>
          <w:b/>
          <w:lang w:val="en-GB" w:eastAsia="zh-CN"/>
        </w:rPr>
        <w:t xml:space="preserve"> which already applies for a PC3+PC2 case (3).</w:t>
      </w:r>
    </w:p>
    <w:p w14:paraId="56A4C9FC" w14:textId="4E380F85" w:rsidR="000E44A8" w:rsidRDefault="000E44A8" w:rsidP="000E44A8">
      <w:pPr>
        <w:pStyle w:val="ListParagraph"/>
        <w:numPr>
          <w:ilvl w:val="0"/>
          <w:numId w:val="27"/>
        </w:numPr>
        <w:spacing w:after="0"/>
        <w:rPr>
          <w:b/>
          <w:lang w:val="en-GB" w:eastAsia="zh-CN"/>
        </w:rPr>
      </w:pPr>
      <w:r w:rsidRPr="000E44A8">
        <w:rPr>
          <w:b/>
          <w:lang w:val="en-GB" w:eastAsia="zh-CN"/>
        </w:rPr>
        <w:t>Optionally, the maximum peak power is based on the sum of the defined per</w:t>
      </w:r>
      <w:r w:rsidR="00B171E0">
        <w:rPr>
          <w:b/>
          <w:lang w:val="en-GB" w:eastAsia="zh-CN"/>
        </w:rPr>
        <w:t>-</w:t>
      </w:r>
      <w:r w:rsidRPr="000E44A8">
        <w:rPr>
          <w:b/>
          <w:lang w:val="en-GB" w:eastAsia="zh-CN"/>
        </w:rPr>
        <w:t>band power class if it exceeds the PC2 power class range</w:t>
      </w:r>
      <w:r w:rsidR="00B171E0">
        <w:rPr>
          <w:b/>
          <w:lang w:val="en-GB" w:eastAsia="zh-CN"/>
        </w:rPr>
        <w:t>,</w:t>
      </w:r>
      <w:r w:rsidRPr="000E44A8">
        <w:rPr>
          <w:b/>
          <w:lang w:val="en-GB" w:eastAsia="zh-CN"/>
        </w:rPr>
        <w:t xml:space="preserve"> but </w:t>
      </w:r>
      <w:r>
        <w:rPr>
          <w:b/>
          <w:lang w:val="en-GB" w:eastAsia="zh-CN"/>
        </w:rPr>
        <w:t>no more than 2dB (</w:t>
      </w:r>
      <w:r w:rsidR="00B171E0">
        <w:rPr>
          <w:b/>
          <w:lang w:val="en-GB" w:eastAsia="zh-CN"/>
        </w:rPr>
        <w:t xml:space="preserve">i.e. </w:t>
      </w:r>
      <w:r>
        <w:rPr>
          <w:b/>
          <w:lang w:val="en-GB" w:eastAsia="zh-CN"/>
        </w:rPr>
        <w:t xml:space="preserve">30dBm) </w:t>
      </w:r>
      <w:r w:rsidR="00B171E0">
        <w:rPr>
          <w:b/>
          <w:lang w:val="en-GB" w:eastAsia="zh-CN"/>
        </w:rPr>
        <w:t xml:space="preserve">( </w:t>
      </w:r>
      <w:r>
        <w:rPr>
          <w:b/>
          <w:lang w:val="en-GB" w:eastAsia="zh-CN"/>
        </w:rPr>
        <w:t xml:space="preserve">3) and </w:t>
      </w:r>
      <w:r w:rsidR="00B171E0">
        <w:rPr>
          <w:b/>
          <w:lang w:val="en-GB" w:eastAsia="zh-CN"/>
        </w:rPr>
        <w:t>(</w:t>
      </w:r>
      <w:r>
        <w:rPr>
          <w:b/>
          <w:lang w:val="en-GB" w:eastAsia="zh-CN"/>
        </w:rPr>
        <w:t>4)</w:t>
      </w:r>
    </w:p>
    <w:p w14:paraId="665BE964" w14:textId="6F9B8D53" w:rsidR="000E44A8" w:rsidRDefault="000E44A8" w:rsidP="000E44A8">
      <w:pPr>
        <w:pStyle w:val="ListParagraph"/>
        <w:numPr>
          <w:ilvl w:val="0"/>
          <w:numId w:val="27"/>
        </w:numPr>
        <w:spacing w:after="0"/>
        <w:rPr>
          <w:b/>
          <w:lang w:val="en-GB" w:eastAsia="zh-CN"/>
        </w:rPr>
      </w:pPr>
      <w:r>
        <w:rPr>
          <w:b/>
          <w:lang w:val="en-GB" w:eastAsia="zh-CN"/>
        </w:rPr>
        <w:t xml:space="preserve">The </w:t>
      </w:r>
      <w:r w:rsidR="00B171E0">
        <w:rPr>
          <w:b/>
          <w:lang w:val="en-GB" w:eastAsia="zh-CN"/>
        </w:rPr>
        <w:t>performance</w:t>
      </w:r>
      <w:r>
        <w:rPr>
          <w:b/>
          <w:lang w:val="en-GB" w:eastAsia="zh-CN"/>
        </w:rPr>
        <w:t xml:space="preserve"> can be understood from each band power class and the 30dBm max peak power</w:t>
      </w:r>
      <w:r w:rsidR="00B171E0">
        <w:rPr>
          <w:b/>
          <w:lang w:val="en-GB" w:eastAsia="zh-CN"/>
        </w:rPr>
        <w:t>,</w:t>
      </w:r>
      <w:r>
        <w:rPr>
          <w:b/>
          <w:lang w:val="en-GB" w:eastAsia="zh-CN"/>
        </w:rPr>
        <w:t xml:space="preserve"> but signalling may still be </w:t>
      </w:r>
      <w:r w:rsidR="00B171E0">
        <w:rPr>
          <w:b/>
          <w:lang w:val="en-GB" w:eastAsia="zh-CN"/>
        </w:rPr>
        <w:t xml:space="preserve">necessary, </w:t>
      </w:r>
      <w:r>
        <w:rPr>
          <w:b/>
          <w:lang w:val="en-GB" w:eastAsia="zh-CN"/>
        </w:rPr>
        <w:t>depending on the impact on requirements.</w:t>
      </w:r>
    </w:p>
    <w:p w14:paraId="76D9FE92" w14:textId="77777777" w:rsidR="000E44A8" w:rsidRDefault="000E44A8" w:rsidP="000E44A8">
      <w:pPr>
        <w:spacing w:after="0"/>
        <w:rPr>
          <w:lang w:val="en-GB" w:eastAsia="zh-CN"/>
        </w:rPr>
      </w:pPr>
    </w:p>
    <w:p w14:paraId="439FA850" w14:textId="67E3FDA1" w:rsidR="009B4F03" w:rsidRDefault="00B171E0" w:rsidP="000E44A8">
      <w:pPr>
        <w:spacing w:after="0"/>
        <w:rPr>
          <w:lang w:val="en-GB" w:eastAsia="zh-CN"/>
        </w:rPr>
      </w:pPr>
      <w:r>
        <w:rPr>
          <w:lang w:val="en-GB" w:eastAsia="zh-CN"/>
        </w:rPr>
        <w:t xml:space="preserve">Assuming an agreement on the above proposal, </w:t>
      </w:r>
      <w:r w:rsidR="000E44A8" w:rsidRPr="000E44A8">
        <w:rPr>
          <w:lang w:val="en-GB" w:eastAsia="zh-CN"/>
        </w:rPr>
        <w:t>it should be feasible to design</w:t>
      </w:r>
      <w:r w:rsidR="009B4F03">
        <w:rPr>
          <w:lang w:val="en-GB" w:eastAsia="zh-CN"/>
        </w:rPr>
        <w:t>:</w:t>
      </w:r>
    </w:p>
    <w:p w14:paraId="509DF45B" w14:textId="3548B84F" w:rsidR="009B4F03" w:rsidRDefault="009B4F03" w:rsidP="009B4F03">
      <w:pPr>
        <w:pStyle w:val="ListParagraph"/>
        <w:numPr>
          <w:ilvl w:val="0"/>
          <w:numId w:val="29"/>
        </w:numPr>
        <w:spacing w:after="0"/>
        <w:rPr>
          <w:lang w:val="en-GB" w:eastAsia="zh-CN"/>
        </w:rPr>
      </w:pPr>
      <w:r>
        <w:rPr>
          <w:lang w:val="en-GB" w:eastAsia="zh-CN"/>
        </w:rPr>
        <w:t>T</w:t>
      </w:r>
      <w:r w:rsidR="000E44A8" w:rsidRPr="009B4F03">
        <w:rPr>
          <w:lang w:val="en-GB" w:eastAsia="zh-CN"/>
        </w:rPr>
        <w:t xml:space="preserve">he PC2 inter-band </w:t>
      </w:r>
      <w:proofErr w:type="spellStart"/>
      <w:r w:rsidR="000E44A8" w:rsidRPr="009B4F03">
        <w:rPr>
          <w:lang w:val="en-GB" w:eastAsia="zh-CN"/>
        </w:rPr>
        <w:t>PCmax</w:t>
      </w:r>
      <w:proofErr w:type="spellEnd"/>
      <w:r w:rsidR="000E44A8" w:rsidRPr="009B4F03">
        <w:rPr>
          <w:lang w:val="en-GB" w:eastAsia="zh-CN"/>
        </w:rPr>
        <w:t xml:space="preserve"> equations for mandatory and optional support</w:t>
      </w:r>
    </w:p>
    <w:p w14:paraId="2AEBEBFC" w14:textId="06862029" w:rsidR="009B4F03" w:rsidRDefault="00B171E0" w:rsidP="009B4F03">
      <w:pPr>
        <w:pStyle w:val="ListParagraph"/>
        <w:numPr>
          <w:ilvl w:val="0"/>
          <w:numId w:val="29"/>
        </w:numPr>
        <w:spacing w:after="0"/>
        <w:rPr>
          <w:lang w:val="en-GB" w:eastAsia="zh-CN"/>
        </w:rPr>
      </w:pPr>
      <w:r>
        <w:rPr>
          <w:lang w:val="en-GB" w:eastAsia="zh-CN"/>
        </w:rPr>
        <w:t>Additional</w:t>
      </w:r>
      <w:r w:rsidR="000E44A8" w:rsidRPr="009B4F03">
        <w:rPr>
          <w:lang w:val="en-GB" w:eastAsia="zh-CN"/>
        </w:rPr>
        <w:t xml:space="preserve"> MSD</w:t>
      </w:r>
      <w:r w:rsidR="009B4F03">
        <w:rPr>
          <w:lang w:val="en-GB" w:eastAsia="zh-CN"/>
        </w:rPr>
        <w:t xml:space="preserve"> when max peak power exceeds 28dBm</w:t>
      </w:r>
      <w:r>
        <w:rPr>
          <w:lang w:val="en-GB" w:eastAsia="zh-CN"/>
        </w:rPr>
        <w:t xml:space="preserve"> if required</w:t>
      </w:r>
      <w:bookmarkStart w:id="2" w:name="_GoBack"/>
      <w:bookmarkEnd w:id="2"/>
    </w:p>
    <w:p w14:paraId="56FEE545" w14:textId="4A2A055C" w:rsidR="008F6490" w:rsidRPr="009B4F03" w:rsidRDefault="00B171E0" w:rsidP="000A6A7A">
      <w:pPr>
        <w:pStyle w:val="ListParagraph"/>
        <w:numPr>
          <w:ilvl w:val="0"/>
          <w:numId w:val="29"/>
        </w:numPr>
        <w:spacing w:after="0"/>
        <w:rPr>
          <w:lang w:val="en-GB" w:eastAsia="zh-CN"/>
        </w:rPr>
      </w:pPr>
      <w:r>
        <w:rPr>
          <w:lang w:val="en-GB" w:eastAsia="zh-CN"/>
        </w:rPr>
        <w:t xml:space="preserve">An interpretation of </w:t>
      </w:r>
      <w:r w:rsidR="009B4F03" w:rsidRPr="009B4F03">
        <w:rPr>
          <w:lang w:val="en-GB" w:eastAsia="zh-CN"/>
        </w:rPr>
        <w:t>the max duty cycle UE declaration. For example</w:t>
      </w:r>
      <w:r>
        <w:rPr>
          <w:lang w:val="en-GB" w:eastAsia="zh-CN"/>
        </w:rPr>
        <w:t>,</w:t>
      </w:r>
      <w:r w:rsidR="009B4F03">
        <w:rPr>
          <w:lang w:val="en-GB" w:eastAsia="zh-CN"/>
        </w:rPr>
        <w:t xml:space="preserve"> whether a UE reaching a </w:t>
      </w:r>
      <w:r w:rsidR="00B979E3">
        <w:rPr>
          <w:lang w:val="en-GB" w:eastAsia="zh-CN"/>
        </w:rPr>
        <w:t xml:space="preserve">nominal </w:t>
      </w:r>
      <w:r w:rsidR="009B4F03">
        <w:rPr>
          <w:lang w:val="en-GB" w:eastAsia="zh-CN"/>
        </w:rPr>
        <w:t xml:space="preserve">29dBm peak power uses a default 25% </w:t>
      </w:r>
      <w:r>
        <w:rPr>
          <w:lang w:val="en-GB" w:eastAsia="zh-CN"/>
        </w:rPr>
        <w:t>or</w:t>
      </w:r>
      <w:r w:rsidR="009B4F03">
        <w:rPr>
          <w:lang w:val="en-GB" w:eastAsia="zh-CN"/>
        </w:rPr>
        <w:t xml:space="preserve"> 50% </w:t>
      </w:r>
      <w:r w:rsidR="00787E1C">
        <w:rPr>
          <w:lang w:val="en-GB" w:eastAsia="zh-CN"/>
        </w:rPr>
        <w:t xml:space="preserve">overall </w:t>
      </w:r>
      <w:r>
        <w:rPr>
          <w:lang w:val="en-GB" w:eastAsia="zh-CN"/>
        </w:rPr>
        <w:t>duty cycle</w:t>
      </w:r>
      <w:r w:rsidR="009B4F03">
        <w:rPr>
          <w:lang w:val="en-GB" w:eastAsia="zh-CN"/>
        </w:rPr>
        <w:t>.</w:t>
      </w:r>
    </w:p>
    <w:p w14:paraId="7BE54F94" w14:textId="77777777" w:rsidR="00305289" w:rsidRDefault="00305289" w:rsidP="00305289">
      <w:pPr>
        <w:pStyle w:val="Heading1"/>
      </w:pPr>
      <w:r>
        <w:t>Conclusions</w:t>
      </w:r>
    </w:p>
    <w:p w14:paraId="3C251E6A" w14:textId="576010E9" w:rsidR="006E4FCE" w:rsidRDefault="00305289" w:rsidP="00FE650D">
      <w:pPr>
        <w:spacing w:after="0"/>
        <w:jc w:val="both"/>
      </w:pPr>
      <w:r>
        <w:t xml:space="preserve">In this contribution, </w:t>
      </w:r>
      <w:r w:rsidR="009B4F03">
        <w:t>we look into all the potential PC2 inter-band combination use cases in terms of individual band power class and make proposals to achieve a common understanding on the Release 17 scope for exceeding the current maximum power level of 28dBm</w:t>
      </w:r>
      <w:r w:rsidR="0080547D">
        <w:t>.</w:t>
      </w:r>
    </w:p>
    <w:p w14:paraId="54912250" w14:textId="77777777" w:rsidR="00327496" w:rsidRDefault="00327496" w:rsidP="00327496">
      <w:pPr>
        <w:spacing w:after="0"/>
        <w:jc w:val="both"/>
        <w:rPr>
          <w:b/>
          <w:lang w:eastAsia="zh-CN"/>
        </w:rPr>
      </w:pPr>
    </w:p>
    <w:p w14:paraId="3CC5288A" w14:textId="77777777" w:rsidR="00B171E0" w:rsidRPr="000E44A8" w:rsidRDefault="00B171E0" w:rsidP="00B171E0">
      <w:pPr>
        <w:spacing w:after="0"/>
        <w:rPr>
          <w:b/>
          <w:lang w:val="en-GB" w:eastAsia="zh-CN"/>
        </w:rPr>
      </w:pPr>
      <w:r w:rsidRPr="000E44A8">
        <w:rPr>
          <w:b/>
          <w:lang w:val="en-GB" w:eastAsia="zh-CN"/>
        </w:rPr>
        <w:t>Proposal:</w:t>
      </w:r>
    </w:p>
    <w:p w14:paraId="72B10002" w14:textId="77777777" w:rsidR="00B171E0" w:rsidRDefault="00B171E0" w:rsidP="00B171E0">
      <w:pPr>
        <w:pStyle w:val="ListParagraph"/>
        <w:numPr>
          <w:ilvl w:val="0"/>
          <w:numId w:val="27"/>
        </w:numPr>
        <w:spacing w:after="0"/>
        <w:rPr>
          <w:b/>
          <w:lang w:val="en-GB" w:eastAsia="zh-CN"/>
        </w:rPr>
      </w:pPr>
      <w:r>
        <w:rPr>
          <w:b/>
          <w:lang w:val="en-GB" w:eastAsia="zh-CN"/>
        </w:rPr>
        <w:t>NR PC3+PC3 case is de facto supported by PC2 inter-band.</w:t>
      </w:r>
    </w:p>
    <w:p w14:paraId="0B5A50AE" w14:textId="77777777" w:rsidR="00B171E0" w:rsidRPr="000E44A8" w:rsidRDefault="00B171E0" w:rsidP="00B171E0">
      <w:pPr>
        <w:pStyle w:val="ListParagraph"/>
        <w:numPr>
          <w:ilvl w:val="0"/>
          <w:numId w:val="27"/>
        </w:numPr>
        <w:spacing w:after="0"/>
        <w:rPr>
          <w:b/>
          <w:lang w:val="en-GB" w:eastAsia="zh-CN"/>
        </w:rPr>
      </w:pPr>
      <w:r w:rsidRPr="000E44A8">
        <w:rPr>
          <w:b/>
          <w:lang w:val="en-GB" w:eastAsia="zh-CN"/>
        </w:rPr>
        <w:t xml:space="preserve">NR PC3 + NR-U PC5 inter-band combinations (1) are eligible </w:t>
      </w:r>
      <w:r>
        <w:rPr>
          <w:b/>
          <w:lang w:val="en-GB" w:eastAsia="zh-CN"/>
        </w:rPr>
        <w:t>for</w:t>
      </w:r>
      <w:r w:rsidRPr="000E44A8">
        <w:rPr>
          <w:b/>
          <w:lang w:val="en-GB" w:eastAsia="zh-CN"/>
        </w:rPr>
        <w:t xml:space="preserve"> PC2 inter-band </w:t>
      </w:r>
      <w:r>
        <w:rPr>
          <w:b/>
          <w:lang w:val="en-GB" w:eastAsia="zh-CN"/>
        </w:rPr>
        <w:t xml:space="preserve">combinations </w:t>
      </w:r>
      <w:r w:rsidRPr="000E44A8">
        <w:rPr>
          <w:b/>
          <w:lang w:val="en-GB" w:eastAsia="zh-CN"/>
        </w:rPr>
        <w:t>and do not require revision of the requirements</w:t>
      </w:r>
      <w:r>
        <w:rPr>
          <w:b/>
          <w:lang w:val="en-GB" w:eastAsia="zh-CN"/>
        </w:rPr>
        <w:t>.</w:t>
      </w:r>
    </w:p>
    <w:p w14:paraId="22D5D1BE" w14:textId="77777777" w:rsidR="00B171E0" w:rsidRPr="000E44A8" w:rsidRDefault="00B171E0" w:rsidP="00B171E0">
      <w:pPr>
        <w:pStyle w:val="ListParagraph"/>
        <w:numPr>
          <w:ilvl w:val="0"/>
          <w:numId w:val="27"/>
        </w:numPr>
        <w:spacing w:after="0"/>
        <w:rPr>
          <w:b/>
          <w:lang w:val="en-GB" w:eastAsia="zh-CN"/>
        </w:rPr>
      </w:pPr>
      <w:r w:rsidRPr="000E44A8">
        <w:rPr>
          <w:b/>
          <w:lang w:val="en-GB" w:eastAsia="zh-CN"/>
        </w:rPr>
        <w:t>Any combinations resulting in a peak nominal power equal</w:t>
      </w:r>
      <w:r>
        <w:rPr>
          <w:b/>
          <w:lang w:val="en-GB" w:eastAsia="zh-CN"/>
        </w:rPr>
        <w:t xml:space="preserve"> to</w:t>
      </w:r>
      <w:r w:rsidRPr="000E44A8">
        <w:rPr>
          <w:b/>
          <w:lang w:val="en-GB" w:eastAsia="zh-CN"/>
        </w:rPr>
        <w:t xml:space="preserve"> or </w:t>
      </w:r>
      <w:r>
        <w:rPr>
          <w:b/>
          <w:lang w:val="en-GB" w:eastAsia="zh-CN"/>
        </w:rPr>
        <w:t>exceeding</w:t>
      </w:r>
      <w:r w:rsidRPr="000E44A8">
        <w:rPr>
          <w:b/>
          <w:lang w:val="en-GB" w:eastAsia="zh-CN"/>
        </w:rPr>
        <w:t xml:space="preserve"> 29dBm (5 to 8)</w:t>
      </w:r>
      <w:r>
        <w:rPr>
          <w:b/>
          <w:lang w:val="en-GB" w:eastAsia="zh-CN"/>
        </w:rPr>
        <w:t xml:space="preserve"> </w:t>
      </w:r>
      <w:r w:rsidRPr="000E44A8">
        <w:rPr>
          <w:b/>
          <w:lang w:val="en-GB" w:eastAsia="zh-CN"/>
        </w:rPr>
        <w:t xml:space="preserve">can only be </w:t>
      </w:r>
      <w:r>
        <w:rPr>
          <w:b/>
          <w:lang w:val="en-GB" w:eastAsia="zh-CN"/>
        </w:rPr>
        <w:t xml:space="preserve">optionally </w:t>
      </w:r>
      <w:r w:rsidRPr="000E44A8">
        <w:rPr>
          <w:b/>
          <w:lang w:val="en-GB" w:eastAsia="zh-CN"/>
        </w:rPr>
        <w:t xml:space="preserve">supported with inter-band PC2 combinations with a maximum peak power of </w:t>
      </w:r>
      <w:r>
        <w:rPr>
          <w:b/>
          <w:lang w:val="en-GB" w:eastAsia="zh-CN"/>
        </w:rPr>
        <w:t>30</w:t>
      </w:r>
      <w:r w:rsidRPr="000E44A8">
        <w:rPr>
          <w:b/>
          <w:lang w:val="en-GB" w:eastAsia="zh-CN"/>
        </w:rPr>
        <w:t>dBm</w:t>
      </w:r>
      <w:r>
        <w:rPr>
          <w:b/>
          <w:lang w:val="en-GB" w:eastAsia="zh-CN"/>
        </w:rPr>
        <w:t xml:space="preserve"> which already applies for a PC3+PC2 case (3).</w:t>
      </w:r>
    </w:p>
    <w:p w14:paraId="7FDC3824" w14:textId="77777777" w:rsidR="00B171E0" w:rsidRDefault="00B171E0" w:rsidP="00B171E0">
      <w:pPr>
        <w:pStyle w:val="ListParagraph"/>
        <w:numPr>
          <w:ilvl w:val="0"/>
          <w:numId w:val="27"/>
        </w:numPr>
        <w:spacing w:after="0"/>
        <w:rPr>
          <w:b/>
          <w:lang w:val="en-GB" w:eastAsia="zh-CN"/>
        </w:rPr>
      </w:pPr>
      <w:r w:rsidRPr="000E44A8">
        <w:rPr>
          <w:b/>
          <w:lang w:val="en-GB" w:eastAsia="zh-CN"/>
        </w:rPr>
        <w:t>Optionally, the maximum peak power is based on the sum of the defined per</w:t>
      </w:r>
      <w:r>
        <w:rPr>
          <w:b/>
          <w:lang w:val="en-GB" w:eastAsia="zh-CN"/>
        </w:rPr>
        <w:t>-</w:t>
      </w:r>
      <w:r w:rsidRPr="000E44A8">
        <w:rPr>
          <w:b/>
          <w:lang w:val="en-GB" w:eastAsia="zh-CN"/>
        </w:rPr>
        <w:t>band power class if it exceeds the PC2 power class range</w:t>
      </w:r>
      <w:r>
        <w:rPr>
          <w:b/>
          <w:lang w:val="en-GB" w:eastAsia="zh-CN"/>
        </w:rPr>
        <w:t>,</w:t>
      </w:r>
      <w:r w:rsidRPr="000E44A8">
        <w:rPr>
          <w:b/>
          <w:lang w:val="en-GB" w:eastAsia="zh-CN"/>
        </w:rPr>
        <w:t xml:space="preserve"> but </w:t>
      </w:r>
      <w:r>
        <w:rPr>
          <w:b/>
          <w:lang w:val="en-GB" w:eastAsia="zh-CN"/>
        </w:rPr>
        <w:t>no more than 2dB (i.e. 30dBm) ( 3) and (4)</w:t>
      </w:r>
    </w:p>
    <w:p w14:paraId="3E62C047" w14:textId="77777777" w:rsidR="00B171E0" w:rsidRDefault="00B171E0" w:rsidP="00B171E0">
      <w:pPr>
        <w:pStyle w:val="ListParagraph"/>
        <w:numPr>
          <w:ilvl w:val="0"/>
          <w:numId w:val="27"/>
        </w:numPr>
        <w:spacing w:after="0"/>
        <w:rPr>
          <w:b/>
          <w:lang w:val="en-GB" w:eastAsia="zh-CN"/>
        </w:rPr>
      </w:pPr>
      <w:r>
        <w:rPr>
          <w:b/>
          <w:lang w:val="en-GB" w:eastAsia="zh-CN"/>
        </w:rPr>
        <w:t>The performance can be understood from each band power class and the 30dBm max peak power, but signalling may still be necessary, depending on the impact on requirements.</w:t>
      </w:r>
    </w:p>
    <w:p w14:paraId="03D6921F" w14:textId="77777777" w:rsidR="00F10F97" w:rsidRDefault="007321E3" w:rsidP="00C8525F">
      <w:pPr>
        <w:pStyle w:val="Heading1"/>
        <w:numPr>
          <w:ilvl w:val="0"/>
          <w:numId w:val="0"/>
        </w:numPr>
        <w:jc w:val="both"/>
      </w:pPr>
      <w:r>
        <w:t>R</w:t>
      </w:r>
      <w:r w:rsidR="00F10F97">
        <w:t>eferences</w:t>
      </w:r>
    </w:p>
    <w:p w14:paraId="79C9D60C" w14:textId="34652689" w:rsidR="00934BAF" w:rsidRDefault="00934BAF" w:rsidP="00934BAF">
      <w:pPr>
        <w:pStyle w:val="ListParagraph"/>
        <w:widowControl w:val="0"/>
        <w:numPr>
          <w:ilvl w:val="0"/>
          <w:numId w:val="22"/>
        </w:numPr>
        <w:snapToGrid w:val="0"/>
      </w:pPr>
      <w:r>
        <w:rPr>
          <w:lang w:val="en-GB" w:eastAsia="zh-CN"/>
        </w:rPr>
        <w:t xml:space="preserve">R4-2111766 </w:t>
      </w:r>
      <w:r w:rsidRPr="00934BAF">
        <w:rPr>
          <w:lang w:val="en-GB" w:eastAsia="zh-CN"/>
        </w:rPr>
        <w:t>A way to increase UE maximum po</w:t>
      </w:r>
      <w:r>
        <w:rPr>
          <w:lang w:val="en-GB" w:eastAsia="zh-CN"/>
        </w:rPr>
        <w:t>wer for NR uplink inter band CA</w:t>
      </w:r>
      <w:r w:rsidRPr="00934BAF">
        <w:rPr>
          <w:lang w:val="en-GB" w:eastAsia="zh-CN"/>
        </w:rPr>
        <w:t>, Nokia, Nokia Shanghai Bell</w:t>
      </w:r>
      <w:r w:rsidR="00801753">
        <w:rPr>
          <w:lang w:val="en-GB" w:eastAsia="zh-CN"/>
        </w:rPr>
        <w:t>, RAN4#100e</w:t>
      </w:r>
    </w:p>
    <w:sectPr w:rsidR="00934BAF"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02AA4" w14:textId="77777777" w:rsidR="008E7351" w:rsidRDefault="008E7351">
      <w:r>
        <w:separator/>
      </w:r>
    </w:p>
  </w:endnote>
  <w:endnote w:type="continuationSeparator" w:id="0">
    <w:p w14:paraId="62BD21CA" w14:textId="77777777" w:rsidR="008E7351" w:rsidRDefault="008E7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6B0C30" w:rsidRDefault="006B0C3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06EE7" w14:textId="77777777" w:rsidR="008E7351" w:rsidRDefault="008E7351">
      <w:r>
        <w:separator/>
      </w:r>
    </w:p>
  </w:footnote>
  <w:footnote w:type="continuationSeparator" w:id="0">
    <w:p w14:paraId="4561A9A3" w14:textId="77777777" w:rsidR="008E7351" w:rsidRDefault="008E73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5597"/>
    <w:multiLevelType w:val="hybridMultilevel"/>
    <w:tmpl w:val="8524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1D77E9"/>
    <w:multiLevelType w:val="hybridMultilevel"/>
    <w:tmpl w:val="04CC4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7E72BC"/>
    <w:multiLevelType w:val="hybridMultilevel"/>
    <w:tmpl w:val="EF423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7">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nsid w:val="320A605A"/>
    <w:multiLevelType w:val="hybridMultilevel"/>
    <w:tmpl w:val="3ECA4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091D7F"/>
    <w:multiLevelType w:val="hybridMultilevel"/>
    <w:tmpl w:val="43E880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7A8662D"/>
    <w:multiLevelType w:val="hybridMultilevel"/>
    <w:tmpl w:val="40EC003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5">
    <w:nsid w:val="42241D3F"/>
    <w:multiLevelType w:val="hybridMultilevel"/>
    <w:tmpl w:val="747C1E10"/>
    <w:lvl w:ilvl="0" w:tplc="BF7434E6">
      <w:start w:val="1"/>
      <w:numFmt w:val="bullet"/>
      <w:lvlText w:val=""/>
      <w:lvlJc w:val="left"/>
      <w:pPr>
        <w:tabs>
          <w:tab w:val="num" w:pos="720"/>
        </w:tabs>
        <w:ind w:left="720" w:hanging="360"/>
      </w:pPr>
      <w:rPr>
        <w:rFonts w:ascii="Wingdings" w:hAnsi="Wingdings" w:hint="default"/>
      </w:rPr>
    </w:lvl>
    <w:lvl w:ilvl="1" w:tplc="D6C00D52" w:tentative="1">
      <w:start w:val="1"/>
      <w:numFmt w:val="bullet"/>
      <w:lvlText w:val=""/>
      <w:lvlJc w:val="left"/>
      <w:pPr>
        <w:tabs>
          <w:tab w:val="num" w:pos="1440"/>
        </w:tabs>
        <w:ind w:left="1440" w:hanging="360"/>
      </w:pPr>
      <w:rPr>
        <w:rFonts w:ascii="Wingdings" w:hAnsi="Wingdings" w:hint="default"/>
      </w:rPr>
    </w:lvl>
    <w:lvl w:ilvl="2" w:tplc="881ACA50" w:tentative="1">
      <w:start w:val="1"/>
      <w:numFmt w:val="bullet"/>
      <w:lvlText w:val=""/>
      <w:lvlJc w:val="left"/>
      <w:pPr>
        <w:tabs>
          <w:tab w:val="num" w:pos="2160"/>
        </w:tabs>
        <w:ind w:left="2160" w:hanging="360"/>
      </w:pPr>
      <w:rPr>
        <w:rFonts w:ascii="Wingdings" w:hAnsi="Wingdings" w:hint="default"/>
      </w:rPr>
    </w:lvl>
    <w:lvl w:ilvl="3" w:tplc="1414B80E" w:tentative="1">
      <w:start w:val="1"/>
      <w:numFmt w:val="bullet"/>
      <w:lvlText w:val=""/>
      <w:lvlJc w:val="left"/>
      <w:pPr>
        <w:tabs>
          <w:tab w:val="num" w:pos="2880"/>
        </w:tabs>
        <w:ind w:left="2880" w:hanging="360"/>
      </w:pPr>
      <w:rPr>
        <w:rFonts w:ascii="Wingdings" w:hAnsi="Wingdings" w:hint="default"/>
      </w:rPr>
    </w:lvl>
    <w:lvl w:ilvl="4" w:tplc="A66E5F1C" w:tentative="1">
      <w:start w:val="1"/>
      <w:numFmt w:val="bullet"/>
      <w:lvlText w:val=""/>
      <w:lvlJc w:val="left"/>
      <w:pPr>
        <w:tabs>
          <w:tab w:val="num" w:pos="3600"/>
        </w:tabs>
        <w:ind w:left="3600" w:hanging="360"/>
      </w:pPr>
      <w:rPr>
        <w:rFonts w:ascii="Wingdings" w:hAnsi="Wingdings" w:hint="default"/>
      </w:rPr>
    </w:lvl>
    <w:lvl w:ilvl="5" w:tplc="467C70EA" w:tentative="1">
      <w:start w:val="1"/>
      <w:numFmt w:val="bullet"/>
      <w:lvlText w:val=""/>
      <w:lvlJc w:val="left"/>
      <w:pPr>
        <w:tabs>
          <w:tab w:val="num" w:pos="4320"/>
        </w:tabs>
        <w:ind w:left="4320" w:hanging="360"/>
      </w:pPr>
      <w:rPr>
        <w:rFonts w:ascii="Wingdings" w:hAnsi="Wingdings" w:hint="default"/>
      </w:rPr>
    </w:lvl>
    <w:lvl w:ilvl="6" w:tplc="4C7EF9E0" w:tentative="1">
      <w:start w:val="1"/>
      <w:numFmt w:val="bullet"/>
      <w:lvlText w:val=""/>
      <w:lvlJc w:val="left"/>
      <w:pPr>
        <w:tabs>
          <w:tab w:val="num" w:pos="5040"/>
        </w:tabs>
        <w:ind w:left="5040" w:hanging="360"/>
      </w:pPr>
      <w:rPr>
        <w:rFonts w:ascii="Wingdings" w:hAnsi="Wingdings" w:hint="default"/>
      </w:rPr>
    </w:lvl>
    <w:lvl w:ilvl="7" w:tplc="9392C028" w:tentative="1">
      <w:start w:val="1"/>
      <w:numFmt w:val="bullet"/>
      <w:lvlText w:val=""/>
      <w:lvlJc w:val="left"/>
      <w:pPr>
        <w:tabs>
          <w:tab w:val="num" w:pos="5760"/>
        </w:tabs>
        <w:ind w:left="5760" w:hanging="360"/>
      </w:pPr>
      <w:rPr>
        <w:rFonts w:ascii="Wingdings" w:hAnsi="Wingdings" w:hint="default"/>
      </w:rPr>
    </w:lvl>
    <w:lvl w:ilvl="8" w:tplc="3FFC29EC" w:tentative="1">
      <w:start w:val="1"/>
      <w:numFmt w:val="bullet"/>
      <w:lvlText w:val=""/>
      <w:lvlJc w:val="left"/>
      <w:pPr>
        <w:tabs>
          <w:tab w:val="num" w:pos="6480"/>
        </w:tabs>
        <w:ind w:left="6480"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6C37D3D"/>
    <w:multiLevelType w:val="hybridMultilevel"/>
    <w:tmpl w:val="C32E5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810C05"/>
    <w:multiLevelType w:val="hybridMultilevel"/>
    <w:tmpl w:val="A880A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AA4D0C"/>
    <w:multiLevelType w:val="hybridMultilevel"/>
    <w:tmpl w:val="FA80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5652DF"/>
    <w:multiLevelType w:val="hybridMultilevel"/>
    <w:tmpl w:val="EFEA7F5E"/>
    <w:lvl w:ilvl="0" w:tplc="BB901152">
      <w:start w:val="1"/>
      <w:numFmt w:val="bullet"/>
      <w:lvlText w:val=""/>
      <w:lvlJc w:val="left"/>
      <w:pPr>
        <w:tabs>
          <w:tab w:val="num" w:pos="720"/>
        </w:tabs>
        <w:ind w:left="720" w:hanging="360"/>
      </w:pPr>
      <w:rPr>
        <w:rFonts w:ascii="Wingdings" w:hAnsi="Wingdings" w:hint="default"/>
      </w:rPr>
    </w:lvl>
    <w:lvl w:ilvl="1" w:tplc="B590E320">
      <w:start w:val="1"/>
      <w:numFmt w:val="bullet"/>
      <w:lvlText w:val=""/>
      <w:lvlJc w:val="left"/>
      <w:pPr>
        <w:tabs>
          <w:tab w:val="num" w:pos="1440"/>
        </w:tabs>
        <w:ind w:left="1440" w:hanging="360"/>
      </w:pPr>
      <w:rPr>
        <w:rFonts w:ascii="Wingdings" w:hAnsi="Wingdings" w:hint="default"/>
      </w:rPr>
    </w:lvl>
    <w:lvl w:ilvl="2" w:tplc="EE7821A6">
      <w:numFmt w:val="bullet"/>
      <w:lvlText w:val=""/>
      <w:lvlJc w:val="left"/>
      <w:pPr>
        <w:tabs>
          <w:tab w:val="num" w:pos="2160"/>
        </w:tabs>
        <w:ind w:left="2160" w:hanging="360"/>
      </w:pPr>
      <w:rPr>
        <w:rFonts w:ascii="Wingdings" w:hAnsi="Wingdings" w:hint="default"/>
      </w:rPr>
    </w:lvl>
    <w:lvl w:ilvl="3" w:tplc="5802DD40" w:tentative="1">
      <w:start w:val="1"/>
      <w:numFmt w:val="bullet"/>
      <w:lvlText w:val=""/>
      <w:lvlJc w:val="left"/>
      <w:pPr>
        <w:tabs>
          <w:tab w:val="num" w:pos="2880"/>
        </w:tabs>
        <w:ind w:left="2880" w:hanging="360"/>
      </w:pPr>
      <w:rPr>
        <w:rFonts w:ascii="Wingdings" w:hAnsi="Wingdings" w:hint="default"/>
      </w:rPr>
    </w:lvl>
    <w:lvl w:ilvl="4" w:tplc="5DFE5EF2" w:tentative="1">
      <w:start w:val="1"/>
      <w:numFmt w:val="bullet"/>
      <w:lvlText w:val=""/>
      <w:lvlJc w:val="left"/>
      <w:pPr>
        <w:tabs>
          <w:tab w:val="num" w:pos="3600"/>
        </w:tabs>
        <w:ind w:left="3600" w:hanging="360"/>
      </w:pPr>
      <w:rPr>
        <w:rFonts w:ascii="Wingdings" w:hAnsi="Wingdings" w:hint="default"/>
      </w:rPr>
    </w:lvl>
    <w:lvl w:ilvl="5" w:tplc="D56ABE98" w:tentative="1">
      <w:start w:val="1"/>
      <w:numFmt w:val="bullet"/>
      <w:lvlText w:val=""/>
      <w:lvlJc w:val="left"/>
      <w:pPr>
        <w:tabs>
          <w:tab w:val="num" w:pos="4320"/>
        </w:tabs>
        <w:ind w:left="4320" w:hanging="360"/>
      </w:pPr>
      <w:rPr>
        <w:rFonts w:ascii="Wingdings" w:hAnsi="Wingdings" w:hint="default"/>
      </w:rPr>
    </w:lvl>
    <w:lvl w:ilvl="6" w:tplc="63D4110C" w:tentative="1">
      <w:start w:val="1"/>
      <w:numFmt w:val="bullet"/>
      <w:lvlText w:val=""/>
      <w:lvlJc w:val="left"/>
      <w:pPr>
        <w:tabs>
          <w:tab w:val="num" w:pos="5040"/>
        </w:tabs>
        <w:ind w:left="5040" w:hanging="360"/>
      </w:pPr>
      <w:rPr>
        <w:rFonts w:ascii="Wingdings" w:hAnsi="Wingdings" w:hint="default"/>
      </w:rPr>
    </w:lvl>
    <w:lvl w:ilvl="7" w:tplc="6E82059E" w:tentative="1">
      <w:start w:val="1"/>
      <w:numFmt w:val="bullet"/>
      <w:lvlText w:val=""/>
      <w:lvlJc w:val="left"/>
      <w:pPr>
        <w:tabs>
          <w:tab w:val="num" w:pos="5760"/>
        </w:tabs>
        <w:ind w:left="5760" w:hanging="360"/>
      </w:pPr>
      <w:rPr>
        <w:rFonts w:ascii="Wingdings" w:hAnsi="Wingdings" w:hint="default"/>
      </w:rPr>
    </w:lvl>
    <w:lvl w:ilvl="8" w:tplc="E1564E88" w:tentative="1">
      <w:start w:val="1"/>
      <w:numFmt w:val="bullet"/>
      <w:lvlText w:val=""/>
      <w:lvlJc w:val="left"/>
      <w:pPr>
        <w:tabs>
          <w:tab w:val="num" w:pos="6480"/>
        </w:tabs>
        <w:ind w:left="6480" w:hanging="360"/>
      </w:pPr>
      <w:rPr>
        <w:rFonts w:ascii="Wingdings" w:hAnsi="Wingdings" w:hint="default"/>
      </w:rPr>
    </w:lvl>
  </w:abstractNum>
  <w:abstractNum w:abstractNumId="23">
    <w:nsid w:val="6F08654D"/>
    <w:multiLevelType w:val="hybridMultilevel"/>
    <w:tmpl w:val="EFE60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4012423"/>
    <w:multiLevelType w:val="hybridMultilevel"/>
    <w:tmpl w:val="D70A14F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775767"/>
    <w:multiLevelType w:val="hybridMultilevel"/>
    <w:tmpl w:val="BE92607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6"/>
  </w:num>
  <w:num w:numId="4">
    <w:abstractNumId w:val="28"/>
  </w:num>
  <w:num w:numId="5">
    <w:abstractNumId w:val="9"/>
  </w:num>
  <w:num w:numId="6">
    <w:abstractNumId w:val="4"/>
  </w:num>
  <w:num w:numId="7">
    <w:abstractNumId w:val="17"/>
  </w:num>
  <w:num w:numId="8">
    <w:abstractNumId w:val="24"/>
  </w:num>
  <w:num w:numId="9">
    <w:abstractNumId w:val="26"/>
  </w:num>
  <w:num w:numId="10">
    <w:abstractNumId w:val="3"/>
  </w:num>
  <w:num w:numId="11">
    <w:abstractNumId w:val="19"/>
  </w:num>
  <w:num w:numId="12">
    <w:abstractNumId w:val="0"/>
  </w:num>
  <w:num w:numId="13">
    <w:abstractNumId w:val="11"/>
  </w:num>
  <w:num w:numId="14">
    <w:abstractNumId w:val="22"/>
  </w:num>
  <w:num w:numId="15">
    <w:abstractNumId w:val="15"/>
  </w:num>
  <w:num w:numId="16">
    <w:abstractNumId w:val="12"/>
  </w:num>
  <w:num w:numId="17">
    <w:abstractNumId w:val="23"/>
  </w:num>
  <w:num w:numId="18">
    <w:abstractNumId w:val="21"/>
  </w:num>
  <w:num w:numId="19">
    <w:abstractNumId w:val="7"/>
  </w:num>
  <w:num w:numId="20">
    <w:abstractNumId w:val="14"/>
  </w:num>
  <w:num w:numId="21">
    <w:abstractNumId w:val="6"/>
  </w:num>
  <w:num w:numId="22">
    <w:abstractNumId w:val="8"/>
  </w:num>
  <w:num w:numId="23">
    <w:abstractNumId w:val="1"/>
  </w:num>
  <w:num w:numId="24">
    <w:abstractNumId w:val="10"/>
  </w:num>
  <w:num w:numId="25">
    <w:abstractNumId w:val="2"/>
  </w:num>
  <w:num w:numId="26">
    <w:abstractNumId w:val="18"/>
  </w:num>
  <w:num w:numId="27">
    <w:abstractNumId w:val="20"/>
  </w:num>
  <w:num w:numId="28">
    <w:abstractNumId w:val="27"/>
  </w:num>
  <w:num w:numId="2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1C"/>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1C"/>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351"/>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BAF"/>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7D1"/>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1E5"/>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1E0"/>
    <w:rsid w:val="00B17B9B"/>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9E3"/>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2E5"/>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DFC"/>
    <w:rsid w:val="00F919AC"/>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C60CA-E3FF-4F2B-A943-B5D02D1BF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TotalTime>
  <Pages>2</Pages>
  <Words>823</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5509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6</cp:revision>
  <cp:lastPrinted>2010-01-07T15:23:00Z</cp:lastPrinted>
  <dcterms:created xsi:type="dcterms:W3CDTF">2021-10-22T19:38:00Z</dcterms:created>
  <dcterms:modified xsi:type="dcterms:W3CDTF">2021-10-22T21:47:00Z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